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EDB" w:rsidRDefault="00722EDB" w:rsidP="00722EDB">
      <w:pPr>
        <w:spacing w:after="0" w:line="240" w:lineRule="auto"/>
        <w:rPr>
          <w:rFonts w:ascii="Times New Roman" w:eastAsia="Times New Roman" w:hAnsi="Times New Roman" w:cs="Times New Roman"/>
          <w:b/>
          <w:color w:val="0070C0"/>
          <w:sz w:val="16"/>
          <w:szCs w:val="16"/>
          <w:lang w:eastAsia="ru-RU"/>
        </w:rPr>
      </w:pPr>
      <w:bookmarkStart w:id="0" w:name="_GoBack"/>
      <w:bookmarkEnd w:id="0"/>
      <w:r w:rsidRPr="00722EDB">
        <w:rPr>
          <w:rFonts w:ascii="Times New Roman" w:eastAsia="Times New Roman" w:hAnsi="Times New Roman" w:cs="Times New Roman"/>
          <w:b/>
          <w:color w:val="0070C0"/>
          <w:sz w:val="16"/>
          <w:szCs w:val="16"/>
          <w:lang w:eastAsia="ru-RU"/>
        </w:rPr>
        <w:t xml:space="preserve">Опубликовано на сайте ГК «АСВ» </w:t>
      </w:r>
      <w:r w:rsidRPr="00722EDB">
        <w:rPr>
          <w:rFonts w:ascii="Times New Roman" w:eastAsia="Times New Roman" w:hAnsi="Times New Roman" w:cs="Times New Roman"/>
          <w:b/>
          <w:color w:val="0070C0"/>
          <w:sz w:val="16"/>
          <w:szCs w:val="16"/>
          <w:lang w:eastAsia="ru-RU"/>
        </w:rPr>
        <w:t>15.02.2019</w:t>
      </w:r>
    </w:p>
    <w:p w:rsidR="00722EDB" w:rsidRPr="00722EDB" w:rsidRDefault="00722EDB" w:rsidP="00722EDB">
      <w:pPr>
        <w:spacing w:after="0" w:line="240" w:lineRule="auto"/>
        <w:rPr>
          <w:rFonts w:ascii="Times New Roman" w:eastAsia="Times New Roman" w:hAnsi="Times New Roman" w:cs="Times New Roman"/>
          <w:b/>
          <w:color w:val="0070C0"/>
          <w:sz w:val="16"/>
          <w:szCs w:val="16"/>
          <w:lang w:eastAsia="ru-RU"/>
        </w:rPr>
      </w:pPr>
    </w:p>
    <w:p w:rsidR="00722EDB" w:rsidRDefault="00722EDB" w:rsidP="00722EDB">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722EDB">
        <w:rPr>
          <w:rFonts w:ascii="Times New Roman" w:eastAsia="Times New Roman" w:hAnsi="Times New Roman" w:cs="Times New Roman"/>
          <w:b/>
          <w:bCs/>
          <w:color w:val="000000"/>
          <w:kern w:val="36"/>
          <w:sz w:val="28"/>
          <w:szCs w:val="28"/>
          <w:lang w:eastAsia="ru-RU"/>
        </w:rPr>
        <w:t xml:space="preserve">Сведения о ходе конкурсного производства в отношении </w:t>
      </w:r>
    </w:p>
    <w:p w:rsidR="00722EDB" w:rsidRPr="00722EDB" w:rsidRDefault="00722EDB" w:rsidP="00722EDB">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722EDB">
        <w:rPr>
          <w:rFonts w:ascii="Times New Roman" w:eastAsia="Times New Roman" w:hAnsi="Times New Roman" w:cs="Times New Roman"/>
          <w:b/>
          <w:color w:val="000000"/>
          <w:sz w:val="28"/>
          <w:szCs w:val="28"/>
          <w:lang w:eastAsia="ru-RU"/>
        </w:rPr>
        <w:t>КБ «РТБК» (ООО)</w:t>
      </w:r>
    </w:p>
    <w:p w:rsidR="00722EDB" w:rsidRPr="00722EDB" w:rsidRDefault="00722EDB" w:rsidP="00722EDB">
      <w:pPr>
        <w:spacing w:after="0" w:line="240" w:lineRule="auto"/>
        <w:outlineLvl w:val="0"/>
        <w:rPr>
          <w:rFonts w:ascii="Times New Roman" w:eastAsia="Times New Roman" w:hAnsi="Times New Roman" w:cs="Times New Roman"/>
          <w:b/>
          <w:bCs/>
          <w:color w:val="000000"/>
          <w:kern w:val="36"/>
          <w:sz w:val="26"/>
          <w:szCs w:val="26"/>
          <w:lang w:eastAsia="ru-RU"/>
        </w:rPr>
      </w:pP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Решением Арбитражного суда г. Москвы от 15 августа 2018 г. (резолютивная часть объявлена 10 августа 2018 г.) по делу № А40-107704/18-174-140 Коммерческий банк «Русский Торговый Банк» (общество с ограниченной ответственностью) (КБ «РТБК» (ООО), далее – Банк, ОГРН 1037739314348, ИНН 7710020212, адрес регистрации: 119021, г. Москва, ул. Тимура Фрунзе, д. 11, корп. 60А) признан несостоятельным (банкротом) и в отношении него открыто конкурсное производство сроком на один год. Функции конкурсного управляющего Банком возложены на государственную корпорацию «Агентство по страхованию вкладов» (далее – Агентство).</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назначено на 8 августа 2019 г.</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Адрес для направления почтовой корреспонденции, в том числе требований кредиторов: 127055, г. Москва, ул. Лесная, д. 59, стр. 2.</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 № 127-ФЗ «О несостоятельности (банкротстве)» (далее – Федеральный закон) Агентство публикует сведения о ходе конкурсного производства в отношении Банка. Последняя информация о ходе конкурсного производства размещена на сайте Агентства и включена в Единый федеральный реестр сведений о банкротстве (далее – ЕФРСБ) 9 сентября 2018 г.</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Конкурсным управляющим 9 ноября 2018 г. завершена инвентаризация имущества Банка по состоянию на дату открытия конкурсного производства (10 августа 2018 г.), итоги которой в соответствии с п.2 ст. 129 Федерального закона 14 ноября 2018 г. размещены на сайте Агентства и включены в ЕФРСБ.</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В соответствии с требованиями ст. 139 Федерального закона конкурсным управляющим привлечен оценщик для определения стоимости имущества Банка (недвижимое имущество, транспортное средство, ценные бумаги). Оценка имущества Банка завершена 21 января 2019 г., по ее результатам рыночная стоимость имущества, предлагаемого к оценке, составила 25 505 тыс. руб. Итоги оценки в соответствии с п. 1 ст. 139 Федерального закона включены в ЕФРСБ и размещены на сайте Агентства 23 января 2019 г.</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Информация о проведении торгов указанным имуществом Банка, а также правами требования к должникам Банка, будет включена в ЕФРСБ и размещена на сайте Агентства в порядке ст. 110 Федерального закона.</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В отчетный период с 10 августа 2018 г. по 31 января 2019 г. новое имущество, неучтенное на балансе Банка, не выявлено, реализация и списание имущества не проводились.</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Конкурсным управляющим организована работа по взысканию задолженности с должников Банка в судебном порядке. По состоянию на 1 февраля 2019 г. в суды предъявлено 654 исковых заявления на сумму 1 990 304 тыс. руб., из которых удовлетворено в полном объеме и частично 515 исковых заявлений на сумму 64 424 тыс. руб., в удовлетворении 15 исковых заявлений на сумму 538 тыс. руб. отказано. На рассмотрении в суде находится 124 исковых заявления на сумму 1 925 282 тыс. руб.</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 xml:space="preserve">На основании вступивших в законную силу судебных актов возбуждено 138 исполнительных производств на сумму 3 994 тыс. руб., из которых 35 на сумму 1 412 тыс. руб. окончены в соответствии с Федеральным законом от 2 октября 2007 г. </w:t>
      </w:r>
      <w:r w:rsidRPr="00722EDB">
        <w:rPr>
          <w:rFonts w:ascii="Times New Roman" w:eastAsia="Times New Roman" w:hAnsi="Times New Roman" w:cs="Times New Roman"/>
          <w:color w:val="000000"/>
          <w:sz w:val="26"/>
          <w:szCs w:val="26"/>
          <w:lang w:eastAsia="ru-RU"/>
        </w:rPr>
        <w:lastRenderedPageBreak/>
        <w:t>№ 229-ФЗ «Об исполнительном производстве» (завершены актами о невозможности взыскания). В результате исковой работы в конкурсную массу Банка поступили денежные средства в размере 1 384 тыс. руб.</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Конкурсным управляющим проведена работа по выявлению сделок, имеющих в соответствии с законодательством о банкротстве признаки недействительности. По состоянию на 1 февраля 2019 г. в Арбитражный суд г. Москвы подано 1 заявление на сумму 156 490 тыс. руб. о признании выявленных сделок недействительными, которое находится на рассмотрении.</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Конкурсным управляющим проводится проверка обстоятельств банкротства Банка, по результатам которой, в случае обнаружения соответствующих обстоятельств, будут приняты меры по привлечению к гражданско-правовой и/или уголовной ответственности лиц, виновных в банкротстве Банка.</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4 июня 2018 г. Банком России в СД МВД России направлено заявление по факту хищения имущества Банка под видом приобретения ценных бумаг. 8 августа 2018 г. Банком России в МВД России направлено заявление по факту замещения ликвидной ссудной задолженности на неликвидные ценные бумаги, действий по выдаче кредитов индивидуальным предпринимателям. Заявление от 4 июня 2018 г. передано по подследственности в ГСУ ГУ МВД России по г. Москве. В дальнейшем материал проверки по заявлению передан в СУ УВД по ЦАО ГУ МВД России по г. Москве. 26 сентября 2018 г. СУ УВД по ЦАО ГУ МВД России по г. Москве возбуждено уголовное дело по ч. 4 ст. 160 УК РФ. К делу приобщено заявление Банка России, направленное 3 июля 2018 г. в СД МВД России, по факту выдачи кредитов индивидуальным предпринимателям. 6 сентября 2018 г. Банком России в СК России направлено заявление по факту действий бывшего руководства Банка, направленных на вывод активов посредством заключения сделок по уступке прав требования, а также действий по кредитованию 32 заемщиков имеющих сомнительную платежеспособность либо заведомо не обладающих способностью исполнить свои обязательства.</w:t>
      </w:r>
    </w:p>
    <w:p w:rsid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color w:val="000000"/>
          <w:sz w:val="26"/>
          <w:szCs w:val="26"/>
          <w:lang w:eastAsia="ru-RU"/>
        </w:rPr>
        <w:t xml:space="preserve">В соответствии с требованиями Федерального закона конкурсный управляющий публикует отчет об исполнении сметы текущих расходов Банка и сведения стоимости нереализованного имущества. </w:t>
      </w:r>
    </w:p>
    <w:p w:rsidR="00722EDB" w:rsidRPr="00722EDB" w:rsidRDefault="00722EDB" w:rsidP="00722EDB">
      <w:pPr>
        <w:spacing w:after="0" w:line="240" w:lineRule="auto"/>
        <w:ind w:firstLine="709"/>
        <w:jc w:val="both"/>
        <w:rPr>
          <w:rFonts w:ascii="Times New Roman" w:eastAsia="Times New Roman" w:hAnsi="Times New Roman" w:cs="Times New Roman"/>
          <w:color w:val="000000"/>
          <w:sz w:val="26"/>
          <w:szCs w:val="26"/>
          <w:lang w:eastAsia="ru-RU"/>
        </w:rPr>
      </w:pP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r w:rsidRPr="00722EDB">
        <w:rPr>
          <w:rFonts w:ascii="Times New Roman" w:eastAsia="Times New Roman" w:hAnsi="Times New Roman" w:cs="Times New Roman"/>
          <w:b/>
          <w:bCs/>
          <w:color w:val="000000"/>
          <w:sz w:val="26"/>
          <w:szCs w:val="26"/>
          <w:lang w:eastAsia="ru-RU"/>
        </w:rPr>
        <w:t>Отчет об исполнении сметы расходов (затрат) на проведение</w:t>
      </w: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r w:rsidRPr="00722EDB">
        <w:rPr>
          <w:rFonts w:ascii="Times New Roman" w:eastAsia="Times New Roman" w:hAnsi="Times New Roman" w:cs="Times New Roman"/>
          <w:b/>
          <w:bCs/>
          <w:color w:val="000000"/>
          <w:sz w:val="26"/>
          <w:szCs w:val="26"/>
          <w:lang w:eastAsia="ru-RU"/>
        </w:rPr>
        <w:t>мероприятий конкурсного производства в отношении Банка</w:t>
      </w:r>
    </w:p>
    <w:p w:rsidR="00722EDB" w:rsidRPr="00722EDB" w:rsidRDefault="00722EDB" w:rsidP="00722EDB">
      <w:pPr>
        <w:spacing w:after="0" w:line="240" w:lineRule="auto"/>
        <w:jc w:val="center"/>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b/>
          <w:bCs/>
          <w:color w:val="000000"/>
          <w:sz w:val="26"/>
          <w:szCs w:val="26"/>
          <w:lang w:eastAsia="ru-RU"/>
        </w:rPr>
        <w:t>за период c 10 августа 2018 г. по 31 января 2019 г.</w:t>
      </w:r>
    </w:p>
    <w:p w:rsidR="00722EDB" w:rsidRPr="00722EDB" w:rsidRDefault="00722EDB" w:rsidP="00722EDB">
      <w:pPr>
        <w:spacing w:after="0" w:line="240" w:lineRule="auto"/>
        <w:jc w:val="right"/>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839"/>
        <w:gridCol w:w="4603"/>
        <w:gridCol w:w="1193"/>
        <w:gridCol w:w="1193"/>
        <w:gridCol w:w="1787"/>
      </w:tblGrid>
      <w:tr w:rsidR="00722EDB" w:rsidRPr="00722EDB" w:rsidTr="00722EDB">
        <w:trPr>
          <w:tblCellSpacing w:w="20" w:type="dxa"/>
        </w:trPr>
        <w:tc>
          <w:tcPr>
            <w:tcW w:w="405"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 п/п</w:t>
            </w:r>
          </w:p>
        </w:tc>
        <w:tc>
          <w:tcPr>
            <w:tcW w:w="2373"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Перечень расходов и затрат</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План</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Факт</w:t>
            </w:r>
          </w:p>
        </w:tc>
        <w:tc>
          <w:tcPr>
            <w:tcW w:w="898"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Экономия (+)/ перерасход (-)</w:t>
            </w:r>
          </w:p>
        </w:tc>
      </w:tr>
      <w:tr w:rsidR="00722EDB" w:rsidRPr="00722EDB" w:rsidTr="00722EDB">
        <w:trPr>
          <w:tblCellSpacing w:w="20" w:type="dxa"/>
        </w:trPr>
        <w:tc>
          <w:tcPr>
            <w:tcW w:w="405"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1</w:t>
            </w:r>
          </w:p>
        </w:tc>
        <w:tc>
          <w:tcPr>
            <w:tcW w:w="2373" w:type="pct"/>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Административно-хозяйственные расходы</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61 679</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23 284</w:t>
            </w:r>
          </w:p>
        </w:tc>
        <w:tc>
          <w:tcPr>
            <w:tcW w:w="898"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+38 395</w:t>
            </w:r>
          </w:p>
        </w:tc>
      </w:tr>
      <w:tr w:rsidR="00722EDB" w:rsidRPr="00722EDB" w:rsidTr="00722EDB">
        <w:trPr>
          <w:tblCellSpacing w:w="20" w:type="dxa"/>
        </w:trPr>
        <w:tc>
          <w:tcPr>
            <w:tcW w:w="405"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2</w:t>
            </w:r>
          </w:p>
        </w:tc>
        <w:tc>
          <w:tcPr>
            <w:tcW w:w="2373" w:type="pct"/>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Расходы на содержание аппарата</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126 974</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46 390</w:t>
            </w:r>
          </w:p>
        </w:tc>
        <w:tc>
          <w:tcPr>
            <w:tcW w:w="898"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+80 584</w:t>
            </w:r>
          </w:p>
        </w:tc>
      </w:tr>
      <w:tr w:rsidR="00722EDB" w:rsidRPr="00722EDB" w:rsidTr="00722EDB">
        <w:trPr>
          <w:tblCellSpacing w:w="20" w:type="dxa"/>
        </w:trPr>
        <w:tc>
          <w:tcPr>
            <w:tcW w:w="405"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p>
        </w:tc>
        <w:tc>
          <w:tcPr>
            <w:tcW w:w="2373" w:type="pct"/>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Итого</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188 653</w:t>
            </w:r>
          </w:p>
        </w:tc>
        <w:tc>
          <w:tcPr>
            <w:tcW w:w="600"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69 674</w:t>
            </w:r>
          </w:p>
        </w:tc>
        <w:tc>
          <w:tcPr>
            <w:tcW w:w="898" w:type="pc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+118 979</w:t>
            </w:r>
          </w:p>
        </w:tc>
      </w:tr>
    </w:tbl>
    <w:p w:rsidR="00722EDB" w:rsidRPr="00722EDB" w:rsidRDefault="00722EDB" w:rsidP="00722EDB">
      <w:pPr>
        <w:spacing w:after="0" w:line="240" w:lineRule="auto"/>
        <w:jc w:val="both"/>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Примечание: сведения представляются нарастающим итогом с даты открытия конкурсного производства по отчетную дату.</w:t>
      </w: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p>
    <w:p w:rsidR="00722EDB" w:rsidRDefault="00722EDB" w:rsidP="00722EDB">
      <w:pPr>
        <w:spacing w:after="0" w:line="240" w:lineRule="auto"/>
        <w:jc w:val="center"/>
        <w:rPr>
          <w:rFonts w:ascii="Times New Roman" w:eastAsia="Times New Roman" w:hAnsi="Times New Roman" w:cs="Times New Roman"/>
          <w:b/>
          <w:bCs/>
          <w:color w:val="000000"/>
          <w:sz w:val="26"/>
          <w:szCs w:val="26"/>
          <w:lang w:eastAsia="ru-RU"/>
        </w:rPr>
      </w:pPr>
    </w:p>
    <w:p w:rsidR="00722EDB" w:rsidRPr="00722EDB" w:rsidRDefault="00722EDB" w:rsidP="00722EDB">
      <w:pPr>
        <w:spacing w:after="0" w:line="240" w:lineRule="auto"/>
        <w:jc w:val="center"/>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b/>
          <w:bCs/>
          <w:color w:val="000000"/>
          <w:sz w:val="26"/>
          <w:szCs w:val="26"/>
          <w:lang w:eastAsia="ru-RU"/>
        </w:rPr>
        <w:lastRenderedPageBreak/>
        <w:t xml:space="preserve">Сведения о стоимости нереализованного имущества (активов) </w:t>
      </w:r>
    </w:p>
    <w:p w:rsidR="00722EDB" w:rsidRPr="00722EDB" w:rsidRDefault="00722EDB" w:rsidP="00722EDB">
      <w:pPr>
        <w:spacing w:after="0" w:line="240" w:lineRule="auto"/>
        <w:jc w:val="center"/>
        <w:rPr>
          <w:rFonts w:ascii="Times New Roman" w:eastAsia="Times New Roman" w:hAnsi="Times New Roman" w:cs="Times New Roman"/>
          <w:color w:val="000000"/>
          <w:sz w:val="26"/>
          <w:szCs w:val="26"/>
          <w:lang w:eastAsia="ru-RU"/>
        </w:rPr>
      </w:pPr>
      <w:r w:rsidRPr="00722EDB">
        <w:rPr>
          <w:rFonts w:ascii="Times New Roman" w:eastAsia="Times New Roman" w:hAnsi="Times New Roman" w:cs="Times New Roman"/>
          <w:b/>
          <w:bCs/>
          <w:color w:val="000000"/>
          <w:sz w:val="26"/>
          <w:szCs w:val="26"/>
          <w:lang w:eastAsia="ru-RU"/>
        </w:rPr>
        <w:t>Банка по состоянию на 1 февраля 2019 г.</w:t>
      </w:r>
    </w:p>
    <w:p w:rsidR="00722EDB" w:rsidRPr="00722EDB" w:rsidRDefault="00722EDB" w:rsidP="00722EDB">
      <w:pPr>
        <w:spacing w:after="0" w:line="240" w:lineRule="auto"/>
        <w:jc w:val="right"/>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 xml:space="preserve">(тыс. руб.) </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710"/>
        <w:gridCol w:w="4910"/>
        <w:gridCol w:w="1996"/>
        <w:gridCol w:w="1999"/>
      </w:tblGrid>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 п/п</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Наименование имущества (дебитора)</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Балансовая стоимость</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Оценочная стоимость</w:t>
            </w:r>
          </w:p>
        </w:tc>
      </w:tr>
      <w:tr w:rsidR="00722EDB" w:rsidRPr="00722EDB" w:rsidTr="00722EDB">
        <w:trPr>
          <w:trHeight w:val="151"/>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1</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Ценные бумаги</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2 501 395</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12 616</w:t>
            </w:r>
          </w:p>
        </w:tc>
      </w:tr>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2</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Кредиты предприятиям и организациям</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6 355 498</w:t>
            </w:r>
          </w:p>
        </w:tc>
        <w:tc>
          <w:tcPr>
            <w:tcW w:w="0" w:type="auto"/>
            <w:vMerge w:val="restart"/>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Оценка не проводилась</w:t>
            </w:r>
          </w:p>
        </w:tc>
      </w:tr>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3</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Кредиты физическим лицам</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529 106</w:t>
            </w:r>
          </w:p>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p>
        </w:tc>
        <w:tc>
          <w:tcPr>
            <w:tcW w:w="0" w:type="auto"/>
            <w:vMerge/>
            <w:tcMar>
              <w:top w:w="75" w:type="dxa"/>
              <w:left w:w="75" w:type="dxa"/>
              <w:bottom w:w="75" w:type="dxa"/>
              <w:right w:w="75" w:type="dxa"/>
            </w:tcMar>
            <w:vAlign w:val="center"/>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p>
        </w:tc>
      </w:tr>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4</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Кредиты банкам</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2 327</w:t>
            </w:r>
          </w:p>
        </w:tc>
        <w:tc>
          <w:tcPr>
            <w:tcW w:w="0" w:type="auto"/>
            <w:vMerge/>
            <w:tcMar>
              <w:top w:w="75" w:type="dxa"/>
              <w:left w:w="75" w:type="dxa"/>
              <w:bottom w:w="75" w:type="dxa"/>
              <w:right w:w="75" w:type="dxa"/>
            </w:tcMar>
            <w:vAlign w:val="center"/>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p>
        </w:tc>
      </w:tr>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5</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Основные средства и хозяйственные затраты (за исключением амортизации)</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39 775</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12 889</w:t>
            </w:r>
          </w:p>
        </w:tc>
      </w:tr>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6</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Прочие активы</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486 831</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color w:val="000000"/>
                <w:lang w:eastAsia="ru-RU"/>
              </w:rPr>
              <w:t>Оценка не проводилась</w:t>
            </w:r>
          </w:p>
        </w:tc>
      </w:tr>
      <w:tr w:rsidR="00722EDB" w:rsidRPr="00722EDB" w:rsidTr="00722EDB">
        <w:trPr>
          <w:tblCellSpacing w:w="20" w:type="dxa"/>
        </w:trPr>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lang w:eastAsia="ru-RU"/>
              </w:rPr>
              <w:t>Итого</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9 914 932</w:t>
            </w:r>
          </w:p>
        </w:tc>
        <w:tc>
          <w:tcPr>
            <w:tcW w:w="0" w:type="auto"/>
            <w:tcMar>
              <w:top w:w="75" w:type="dxa"/>
              <w:left w:w="75" w:type="dxa"/>
              <w:bottom w:w="75" w:type="dxa"/>
              <w:right w:w="75" w:type="dxa"/>
            </w:tcMar>
            <w:vAlign w:val="center"/>
            <w:hideMark/>
          </w:tcPr>
          <w:p w:rsidR="00722EDB" w:rsidRPr="00722EDB" w:rsidRDefault="00722EDB" w:rsidP="00722EDB">
            <w:pPr>
              <w:spacing w:after="0" w:line="240" w:lineRule="auto"/>
              <w:jc w:val="center"/>
              <w:rPr>
                <w:rFonts w:ascii="Times New Roman" w:eastAsia="Times New Roman" w:hAnsi="Times New Roman" w:cs="Times New Roman"/>
                <w:color w:val="000000"/>
                <w:lang w:eastAsia="ru-RU"/>
              </w:rPr>
            </w:pPr>
            <w:r w:rsidRPr="00722EDB">
              <w:rPr>
                <w:rFonts w:ascii="Times New Roman" w:eastAsia="Times New Roman" w:hAnsi="Times New Roman" w:cs="Times New Roman"/>
                <w:b/>
                <w:bCs/>
                <w:color w:val="000000"/>
                <w:lang w:eastAsia="ru-RU"/>
              </w:rPr>
              <w:t>25 505</w:t>
            </w:r>
          </w:p>
        </w:tc>
      </w:tr>
    </w:tbl>
    <w:p w:rsidR="00D30785" w:rsidRPr="00722EDB" w:rsidRDefault="00D30785" w:rsidP="00722EDB">
      <w:pPr>
        <w:spacing w:after="0" w:line="240" w:lineRule="auto"/>
        <w:rPr>
          <w:rFonts w:ascii="Times New Roman" w:hAnsi="Times New Roman" w:cs="Times New Roman"/>
        </w:rPr>
      </w:pPr>
    </w:p>
    <w:sectPr w:rsidR="00D30785" w:rsidRPr="00722EDB" w:rsidSect="00722EDB">
      <w:footerReference w:type="default" r:id="rId7"/>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071" w:rsidRDefault="00A41071" w:rsidP="00722EDB">
      <w:pPr>
        <w:spacing w:after="0" w:line="240" w:lineRule="auto"/>
      </w:pPr>
      <w:r>
        <w:separator/>
      </w:r>
    </w:p>
  </w:endnote>
  <w:endnote w:type="continuationSeparator" w:id="0">
    <w:p w:rsidR="00A41071" w:rsidRDefault="00A41071" w:rsidP="00722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834545"/>
      <w:docPartObj>
        <w:docPartGallery w:val="Page Numbers (Bottom of Page)"/>
        <w:docPartUnique/>
      </w:docPartObj>
    </w:sdtPr>
    <w:sdtContent>
      <w:p w:rsidR="00722EDB" w:rsidRDefault="00722EDB">
        <w:pPr>
          <w:pStyle w:val="a6"/>
          <w:jc w:val="right"/>
        </w:pPr>
        <w:r>
          <w:fldChar w:fldCharType="begin"/>
        </w:r>
        <w:r>
          <w:instrText>PAGE   \* MERGEFORMAT</w:instrText>
        </w:r>
        <w:r>
          <w:fldChar w:fldCharType="separate"/>
        </w:r>
        <w:r>
          <w:rPr>
            <w:noProof/>
          </w:rPr>
          <w:t>2</w:t>
        </w:r>
        <w:r>
          <w:fldChar w:fldCharType="end"/>
        </w:r>
      </w:p>
    </w:sdtContent>
  </w:sdt>
  <w:p w:rsidR="00722EDB" w:rsidRDefault="00722E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071" w:rsidRDefault="00A41071" w:rsidP="00722EDB">
      <w:pPr>
        <w:spacing w:after="0" w:line="240" w:lineRule="auto"/>
      </w:pPr>
      <w:r>
        <w:separator/>
      </w:r>
    </w:p>
  </w:footnote>
  <w:footnote w:type="continuationSeparator" w:id="0">
    <w:p w:rsidR="00A41071" w:rsidRDefault="00A41071" w:rsidP="00722E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DB"/>
    <w:rsid w:val="00722EDB"/>
    <w:rsid w:val="00A41071"/>
    <w:rsid w:val="00D30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2EDB"/>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EDB"/>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722E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722EDB"/>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722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2EDB"/>
  </w:style>
  <w:style w:type="paragraph" w:styleId="a6">
    <w:name w:val="footer"/>
    <w:basedOn w:val="a"/>
    <w:link w:val="a7"/>
    <w:uiPriority w:val="99"/>
    <w:unhideWhenUsed/>
    <w:rsid w:val="00722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2E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22EDB"/>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22EDB"/>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722E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722EDB"/>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722E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2EDB"/>
  </w:style>
  <w:style w:type="paragraph" w:styleId="a6">
    <w:name w:val="footer"/>
    <w:basedOn w:val="a"/>
    <w:link w:val="a7"/>
    <w:uiPriority w:val="99"/>
    <w:unhideWhenUsed/>
    <w:rsid w:val="00722E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2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329589">
      <w:bodyDiv w:val="1"/>
      <w:marLeft w:val="0"/>
      <w:marRight w:val="0"/>
      <w:marTop w:val="0"/>
      <w:marBottom w:val="0"/>
      <w:divBdr>
        <w:top w:val="none" w:sz="0" w:space="0" w:color="auto"/>
        <w:left w:val="none" w:sz="0" w:space="0" w:color="auto"/>
        <w:bottom w:val="none" w:sz="0" w:space="0" w:color="auto"/>
        <w:right w:val="none" w:sz="0" w:space="0" w:color="auto"/>
      </w:divBdr>
      <w:divsChild>
        <w:div w:id="145972080">
          <w:marLeft w:val="0"/>
          <w:marRight w:val="0"/>
          <w:marTop w:val="0"/>
          <w:marBottom w:val="0"/>
          <w:divBdr>
            <w:top w:val="none" w:sz="0" w:space="0" w:color="auto"/>
            <w:left w:val="none" w:sz="0" w:space="0" w:color="auto"/>
            <w:bottom w:val="none" w:sz="0" w:space="0" w:color="auto"/>
            <w:right w:val="none" w:sz="0" w:space="0" w:color="auto"/>
          </w:divBdr>
          <w:divsChild>
            <w:div w:id="349576491">
              <w:marLeft w:val="0"/>
              <w:marRight w:val="0"/>
              <w:marTop w:val="0"/>
              <w:marBottom w:val="0"/>
              <w:divBdr>
                <w:top w:val="single" w:sz="24" w:space="8" w:color="486BAD"/>
                <w:left w:val="single" w:sz="24" w:space="8" w:color="486BAD"/>
                <w:bottom w:val="single" w:sz="24" w:space="0" w:color="486BAD"/>
                <w:right w:val="single" w:sz="24" w:space="8" w:color="486BAD"/>
              </w:divBdr>
              <w:divsChild>
                <w:div w:id="451747722">
                  <w:marLeft w:val="1"/>
                  <w:marRight w:val="1"/>
                  <w:marTop w:val="0"/>
                  <w:marBottom w:val="750"/>
                  <w:divBdr>
                    <w:top w:val="none" w:sz="0" w:space="0" w:color="auto"/>
                    <w:left w:val="none" w:sz="0" w:space="0" w:color="auto"/>
                    <w:bottom w:val="none" w:sz="0" w:space="0" w:color="auto"/>
                    <w:right w:val="none" w:sz="0" w:space="0" w:color="auto"/>
                  </w:divBdr>
                  <w:divsChild>
                    <w:div w:id="41474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950</Words>
  <Characters>5419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2019-03-01T07:50:00Z</dcterms:created>
  <dcterms:modified xsi:type="dcterms:W3CDTF">2019-03-01T07:54:00Z</dcterms:modified>
</cp:coreProperties>
</file>