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81F" w:rsidRDefault="00D6781F" w:rsidP="00D6781F">
      <w:pPr>
        <w:spacing w:after="0" w:line="240" w:lineRule="auto"/>
        <w:rPr>
          <w:rFonts w:ascii="Times New Roman" w:eastAsia="Times New Roman" w:hAnsi="Times New Roman" w:cs="Times New Roman"/>
          <w:b/>
          <w:color w:val="0070C0"/>
          <w:sz w:val="16"/>
          <w:szCs w:val="16"/>
          <w:lang w:eastAsia="ru-RU"/>
        </w:rPr>
      </w:pPr>
      <w:bookmarkStart w:id="0" w:name="_GoBack"/>
      <w:bookmarkEnd w:id="0"/>
      <w:r w:rsidRPr="00D6781F">
        <w:rPr>
          <w:rFonts w:ascii="Times New Roman" w:eastAsia="Times New Roman" w:hAnsi="Times New Roman" w:cs="Times New Roman"/>
          <w:b/>
          <w:color w:val="0070C0"/>
          <w:sz w:val="16"/>
          <w:szCs w:val="16"/>
          <w:lang w:eastAsia="ru-RU"/>
        </w:rPr>
        <w:t xml:space="preserve">Опубликовано на сайте ГК «АСВ» </w:t>
      </w:r>
      <w:r w:rsidRPr="00D6781F">
        <w:rPr>
          <w:rFonts w:ascii="Times New Roman" w:eastAsia="Times New Roman" w:hAnsi="Times New Roman" w:cs="Times New Roman"/>
          <w:b/>
          <w:color w:val="0070C0"/>
          <w:sz w:val="16"/>
          <w:szCs w:val="16"/>
          <w:lang w:eastAsia="ru-RU"/>
        </w:rPr>
        <w:t>23.04.2019</w:t>
      </w:r>
    </w:p>
    <w:p w:rsidR="00D6781F" w:rsidRPr="00D6781F" w:rsidRDefault="00D6781F" w:rsidP="00D6781F">
      <w:pPr>
        <w:spacing w:after="0" w:line="240" w:lineRule="auto"/>
        <w:rPr>
          <w:rFonts w:ascii="Times New Roman" w:eastAsia="Times New Roman" w:hAnsi="Times New Roman" w:cs="Times New Roman"/>
          <w:b/>
          <w:color w:val="0070C0"/>
          <w:sz w:val="16"/>
          <w:szCs w:val="16"/>
          <w:lang w:eastAsia="ru-RU"/>
        </w:rPr>
      </w:pPr>
    </w:p>
    <w:p w:rsidR="00D6781F" w:rsidRDefault="00D6781F" w:rsidP="00D6781F">
      <w:pPr>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D6781F">
        <w:rPr>
          <w:rFonts w:ascii="Times New Roman" w:eastAsia="Times New Roman" w:hAnsi="Times New Roman" w:cs="Times New Roman"/>
          <w:b/>
          <w:bCs/>
          <w:color w:val="000000"/>
          <w:kern w:val="36"/>
          <w:sz w:val="28"/>
          <w:szCs w:val="28"/>
          <w:lang w:eastAsia="ru-RU"/>
        </w:rPr>
        <w:t xml:space="preserve">Сведения о ходе конкурсного производства в отношении </w:t>
      </w:r>
    </w:p>
    <w:p w:rsidR="00D6781F" w:rsidRPr="00D6781F" w:rsidRDefault="00D6781F" w:rsidP="00D6781F">
      <w:pPr>
        <w:spacing w:after="0" w:line="240" w:lineRule="auto"/>
        <w:jc w:val="center"/>
        <w:outlineLvl w:val="0"/>
        <w:rPr>
          <w:rFonts w:ascii="Times New Roman" w:eastAsia="Times New Roman" w:hAnsi="Times New Roman" w:cs="Times New Roman"/>
          <w:b/>
          <w:color w:val="000000"/>
          <w:sz w:val="28"/>
          <w:szCs w:val="28"/>
          <w:lang w:eastAsia="ru-RU"/>
        </w:rPr>
      </w:pPr>
      <w:r w:rsidRPr="00D6781F">
        <w:rPr>
          <w:rFonts w:ascii="Times New Roman" w:eastAsia="Times New Roman" w:hAnsi="Times New Roman" w:cs="Times New Roman"/>
          <w:b/>
          <w:color w:val="000000"/>
          <w:sz w:val="28"/>
          <w:szCs w:val="28"/>
          <w:lang w:eastAsia="ru-RU"/>
        </w:rPr>
        <w:t>Банк</w:t>
      </w:r>
      <w:r w:rsidRPr="00D6781F">
        <w:rPr>
          <w:rFonts w:ascii="Times New Roman" w:eastAsia="Times New Roman" w:hAnsi="Times New Roman" w:cs="Times New Roman"/>
          <w:b/>
          <w:color w:val="000000"/>
          <w:sz w:val="28"/>
          <w:szCs w:val="28"/>
          <w:lang w:eastAsia="ru-RU"/>
        </w:rPr>
        <w:t>а</w:t>
      </w:r>
      <w:r w:rsidRPr="00D6781F">
        <w:rPr>
          <w:rFonts w:ascii="Times New Roman" w:eastAsia="Times New Roman" w:hAnsi="Times New Roman" w:cs="Times New Roman"/>
          <w:b/>
          <w:color w:val="000000"/>
          <w:sz w:val="28"/>
          <w:szCs w:val="28"/>
          <w:lang w:eastAsia="ru-RU"/>
        </w:rPr>
        <w:t xml:space="preserve"> «Уссури» (АО)</w:t>
      </w:r>
    </w:p>
    <w:p w:rsidR="00D6781F" w:rsidRPr="00D6781F" w:rsidRDefault="00D6781F" w:rsidP="00D6781F">
      <w:pPr>
        <w:spacing w:after="0" w:line="240" w:lineRule="auto"/>
        <w:outlineLvl w:val="0"/>
        <w:rPr>
          <w:rFonts w:ascii="Times New Roman" w:eastAsia="Times New Roman" w:hAnsi="Times New Roman" w:cs="Times New Roman"/>
          <w:b/>
          <w:bCs/>
          <w:color w:val="000000"/>
          <w:kern w:val="36"/>
          <w:sz w:val="26"/>
          <w:szCs w:val="26"/>
          <w:lang w:eastAsia="ru-RU"/>
        </w:rPr>
      </w:pPr>
    </w:p>
    <w:p w:rsidR="00D6781F" w:rsidRPr="00D6781F" w:rsidRDefault="00D6781F" w:rsidP="00D6781F">
      <w:pPr>
        <w:spacing w:after="0" w:line="240" w:lineRule="auto"/>
        <w:ind w:firstLine="709"/>
        <w:jc w:val="both"/>
        <w:rPr>
          <w:rFonts w:ascii="Times New Roman" w:eastAsia="Times New Roman" w:hAnsi="Times New Roman" w:cs="Times New Roman"/>
          <w:color w:val="000000"/>
          <w:sz w:val="26"/>
          <w:szCs w:val="26"/>
          <w:lang w:eastAsia="ru-RU"/>
        </w:rPr>
      </w:pPr>
      <w:r w:rsidRPr="00D6781F">
        <w:rPr>
          <w:rFonts w:ascii="Times New Roman" w:eastAsia="Times New Roman" w:hAnsi="Times New Roman" w:cs="Times New Roman"/>
          <w:color w:val="000000"/>
          <w:sz w:val="26"/>
          <w:szCs w:val="26"/>
          <w:lang w:eastAsia="ru-RU"/>
        </w:rPr>
        <w:t>Решением Арбитражного суда Хабаровского края от 25 октября 2018 г. (резолютивная часть объявлена 18 октября 2018 г.) по делу № А73-9829/2018 Акционерное общество Банк «Уссури» (Банк «Уссури» (АО)) (далее – Банк), ОГРН 1022700002654, ИНН 2723010607, зарегистрированное по адресу: 680013, г. Хабаровск, ул. Карла Маркса, д. 96 А, признано несостоятельным (банкротом) и в отношении него открыто конкурсное производство сроком на один год. Функции конкурсного управляющего возложены на государственную корпорацию «Агентство по страхованию вкладов» (далее – Агентство).</w:t>
      </w:r>
    </w:p>
    <w:p w:rsidR="00D6781F" w:rsidRPr="00D6781F" w:rsidRDefault="00D6781F" w:rsidP="00D6781F">
      <w:pPr>
        <w:spacing w:after="0" w:line="240" w:lineRule="auto"/>
        <w:ind w:firstLine="709"/>
        <w:jc w:val="both"/>
        <w:rPr>
          <w:rFonts w:ascii="Times New Roman" w:eastAsia="Times New Roman" w:hAnsi="Times New Roman" w:cs="Times New Roman"/>
          <w:color w:val="000000"/>
          <w:sz w:val="26"/>
          <w:szCs w:val="26"/>
          <w:lang w:eastAsia="ru-RU"/>
        </w:rPr>
      </w:pPr>
      <w:r w:rsidRPr="00D6781F">
        <w:rPr>
          <w:rFonts w:ascii="Times New Roman" w:eastAsia="Times New Roman" w:hAnsi="Times New Roman" w:cs="Times New Roman"/>
          <w:color w:val="000000"/>
          <w:sz w:val="26"/>
          <w:szCs w:val="26"/>
          <w:lang w:eastAsia="ru-RU"/>
        </w:rPr>
        <w:t>Судебное заседание по рассмотрению отчета конкурсного управляющего назначено на 17 октября 2019 г.</w:t>
      </w:r>
    </w:p>
    <w:p w:rsidR="00D6781F" w:rsidRPr="00D6781F" w:rsidRDefault="00D6781F" w:rsidP="00D6781F">
      <w:pPr>
        <w:spacing w:after="0" w:line="240" w:lineRule="auto"/>
        <w:ind w:firstLine="709"/>
        <w:jc w:val="both"/>
        <w:rPr>
          <w:rFonts w:ascii="Times New Roman" w:eastAsia="Times New Roman" w:hAnsi="Times New Roman" w:cs="Times New Roman"/>
          <w:color w:val="000000"/>
          <w:sz w:val="26"/>
          <w:szCs w:val="26"/>
          <w:lang w:eastAsia="ru-RU"/>
        </w:rPr>
      </w:pPr>
      <w:r w:rsidRPr="00D6781F">
        <w:rPr>
          <w:rFonts w:ascii="Times New Roman" w:eastAsia="Times New Roman" w:hAnsi="Times New Roman" w:cs="Times New Roman"/>
          <w:color w:val="000000"/>
          <w:sz w:val="26"/>
          <w:szCs w:val="26"/>
          <w:lang w:eastAsia="ru-RU"/>
        </w:rPr>
        <w:t>Адреса для направления почтовой корреспонденции, в том числе требований кредиторов: 680013, г. Хабаровск, ул. Карла Маркса, д. 96 А, 127055, г. Москва, ул. Лесная, д. 59, стр. 2.</w:t>
      </w:r>
    </w:p>
    <w:p w:rsidR="00D6781F" w:rsidRPr="00D6781F" w:rsidRDefault="00D6781F" w:rsidP="00D6781F">
      <w:pPr>
        <w:spacing w:after="0" w:line="240" w:lineRule="auto"/>
        <w:ind w:firstLine="709"/>
        <w:jc w:val="both"/>
        <w:rPr>
          <w:rFonts w:ascii="Times New Roman" w:eastAsia="Times New Roman" w:hAnsi="Times New Roman" w:cs="Times New Roman"/>
          <w:color w:val="000000"/>
          <w:sz w:val="26"/>
          <w:szCs w:val="26"/>
          <w:lang w:eastAsia="ru-RU"/>
        </w:rPr>
      </w:pPr>
      <w:r w:rsidRPr="00D6781F">
        <w:rPr>
          <w:rFonts w:ascii="Times New Roman" w:eastAsia="Times New Roman" w:hAnsi="Times New Roman" w:cs="Times New Roman"/>
          <w:color w:val="000000"/>
          <w:sz w:val="26"/>
          <w:szCs w:val="26"/>
          <w:lang w:eastAsia="ru-RU"/>
        </w:rPr>
        <w:t>В соответствии с требованиями Федерального закона от 26 октября 2002 г. № 127-ФЗ «О несостоятельности (банкротстве)» (далее – Федеральный закон) Агентство публикует сведения о ходе конкурсного производства в отношении Банка. Последняя информация о ходе конкурсного производства включена в Единый федеральный реестр сведений о банкротстве (далее – ЕФРСБ) и размещена на сайте Агентства в сети Интернет 17 ноября 2018 г.</w:t>
      </w:r>
    </w:p>
    <w:p w:rsidR="00D6781F" w:rsidRPr="00D6781F" w:rsidRDefault="00D6781F" w:rsidP="00D6781F">
      <w:pPr>
        <w:spacing w:after="0" w:line="240" w:lineRule="auto"/>
        <w:ind w:firstLine="709"/>
        <w:jc w:val="both"/>
        <w:rPr>
          <w:rFonts w:ascii="Times New Roman" w:eastAsia="Times New Roman" w:hAnsi="Times New Roman" w:cs="Times New Roman"/>
          <w:color w:val="000000"/>
          <w:sz w:val="26"/>
          <w:szCs w:val="26"/>
          <w:lang w:eastAsia="ru-RU"/>
        </w:rPr>
      </w:pPr>
      <w:r w:rsidRPr="00D6781F">
        <w:rPr>
          <w:rFonts w:ascii="Times New Roman" w:eastAsia="Times New Roman" w:hAnsi="Times New Roman" w:cs="Times New Roman"/>
          <w:color w:val="000000"/>
          <w:sz w:val="26"/>
          <w:szCs w:val="26"/>
          <w:lang w:eastAsia="ru-RU"/>
        </w:rPr>
        <w:t>В период с 5 марта по 28 июня 2019 г. конкурсным управляющим осуществляются расчеты с кредиторами первой очереди, требования которых включены в реестр требований кредиторов Банка, в размере 62,49 % суммы установленных требований. По состоянию на 1 апреля 2019 г. на выплаты указанным кредиторам направлены денежные средства в размере 2 941 604 тыс. руб., что составляет 62,42 % суммы установленных требований указанных кредиторов.</w:t>
      </w:r>
    </w:p>
    <w:p w:rsidR="00D6781F" w:rsidRPr="00D6781F" w:rsidRDefault="00D6781F" w:rsidP="00D6781F">
      <w:pPr>
        <w:spacing w:after="0" w:line="240" w:lineRule="auto"/>
        <w:ind w:firstLine="709"/>
        <w:jc w:val="both"/>
        <w:rPr>
          <w:rFonts w:ascii="Times New Roman" w:eastAsia="Times New Roman" w:hAnsi="Times New Roman" w:cs="Times New Roman"/>
          <w:color w:val="000000"/>
          <w:sz w:val="26"/>
          <w:szCs w:val="26"/>
          <w:lang w:eastAsia="ru-RU"/>
        </w:rPr>
      </w:pPr>
      <w:r w:rsidRPr="00D6781F">
        <w:rPr>
          <w:rFonts w:ascii="Times New Roman" w:eastAsia="Times New Roman" w:hAnsi="Times New Roman" w:cs="Times New Roman"/>
          <w:color w:val="000000"/>
          <w:sz w:val="26"/>
          <w:szCs w:val="26"/>
          <w:lang w:eastAsia="ru-RU"/>
        </w:rPr>
        <w:t>Конкурсным управляющим Банком 18 января 2019 г. завершена инвентаризация имущества Банка по состоянию на дату открытия конкурсного производства (18 октября 2018 г.), в результате которой выявлена недостача имущества на сумму 125 613 тыс. руб. Также в ходе проведения инвентаризации выявлено имущество (оргтехника, банковское оборудование и мебель) в количестве 3 364 единицы, неучтенное на балансовых счетах Банка. Сообщение о результатах инвентаризации включено в ЕФРСБ и размещено на сайте агентства в сети Интернет 23 января 2019 г.</w:t>
      </w:r>
    </w:p>
    <w:p w:rsidR="00D6781F" w:rsidRPr="00D6781F" w:rsidRDefault="00D6781F" w:rsidP="00D6781F">
      <w:pPr>
        <w:spacing w:after="0" w:line="240" w:lineRule="auto"/>
        <w:ind w:firstLine="709"/>
        <w:jc w:val="both"/>
        <w:rPr>
          <w:rFonts w:ascii="Times New Roman" w:eastAsia="Times New Roman" w:hAnsi="Times New Roman" w:cs="Times New Roman"/>
          <w:color w:val="000000"/>
          <w:sz w:val="26"/>
          <w:szCs w:val="26"/>
          <w:lang w:eastAsia="ru-RU"/>
        </w:rPr>
      </w:pPr>
      <w:r w:rsidRPr="00D6781F">
        <w:rPr>
          <w:rFonts w:ascii="Times New Roman" w:eastAsia="Times New Roman" w:hAnsi="Times New Roman" w:cs="Times New Roman"/>
          <w:color w:val="000000"/>
          <w:sz w:val="26"/>
          <w:szCs w:val="26"/>
          <w:lang w:eastAsia="ru-RU"/>
        </w:rPr>
        <w:t>В соответствии с требованиями Федерального закона конкурсным управляющим с привлечением независимого оценщика ООО «Профессиональный центр оценки и экспертиз» проведена оценка недвижимости и транспортных средств Банка по состоянию на 19 февраля 2019 г., по результатам которой рыночная стоимость объектов недвижимого имущества составила 141 200 тыс. руб., автотранспортных средств – 4 841 тыс. руб. Итоги оценки опубликованы в ЕФРСБ и на сайте Агентства в сети Интернет 2 апреля 2019 г.</w:t>
      </w:r>
    </w:p>
    <w:p w:rsidR="00D6781F" w:rsidRPr="00D6781F" w:rsidRDefault="00D6781F" w:rsidP="00D6781F">
      <w:pPr>
        <w:spacing w:after="0" w:line="240" w:lineRule="auto"/>
        <w:ind w:firstLine="709"/>
        <w:jc w:val="both"/>
        <w:rPr>
          <w:rFonts w:ascii="Times New Roman" w:eastAsia="Times New Roman" w:hAnsi="Times New Roman" w:cs="Times New Roman"/>
          <w:color w:val="000000"/>
          <w:sz w:val="26"/>
          <w:szCs w:val="26"/>
          <w:lang w:eastAsia="ru-RU"/>
        </w:rPr>
      </w:pPr>
      <w:r w:rsidRPr="00D6781F">
        <w:rPr>
          <w:rFonts w:ascii="Times New Roman" w:eastAsia="Times New Roman" w:hAnsi="Times New Roman" w:cs="Times New Roman"/>
          <w:color w:val="000000"/>
          <w:sz w:val="26"/>
          <w:szCs w:val="26"/>
          <w:lang w:eastAsia="ru-RU"/>
        </w:rPr>
        <w:t xml:space="preserve">За период с 18 октября 2018 г. по 31 марта 2019 г. конкурсным управляющим по согласованию с комитетом кредиторов с балансовых счетов Банка списано невозможное ко взысканию и реализации имущество (дебиторская задолженность, </w:t>
      </w:r>
      <w:r w:rsidRPr="00D6781F">
        <w:rPr>
          <w:rFonts w:ascii="Times New Roman" w:eastAsia="Times New Roman" w:hAnsi="Times New Roman" w:cs="Times New Roman"/>
          <w:color w:val="000000"/>
          <w:sz w:val="26"/>
          <w:szCs w:val="26"/>
          <w:lang w:eastAsia="ru-RU"/>
        </w:rPr>
        <w:lastRenderedPageBreak/>
        <w:t>комиссия за расчетно-кассовое обслуживание) общей балансовой стоимостью 288 тыс. руб.</w:t>
      </w:r>
    </w:p>
    <w:p w:rsidR="00D6781F" w:rsidRPr="00D6781F" w:rsidRDefault="00D6781F" w:rsidP="00D6781F">
      <w:pPr>
        <w:spacing w:after="0" w:line="240" w:lineRule="auto"/>
        <w:ind w:firstLine="709"/>
        <w:jc w:val="both"/>
        <w:rPr>
          <w:rFonts w:ascii="Times New Roman" w:eastAsia="Times New Roman" w:hAnsi="Times New Roman" w:cs="Times New Roman"/>
          <w:color w:val="000000"/>
          <w:sz w:val="26"/>
          <w:szCs w:val="26"/>
          <w:lang w:eastAsia="ru-RU"/>
        </w:rPr>
      </w:pPr>
      <w:r w:rsidRPr="00D6781F">
        <w:rPr>
          <w:rFonts w:ascii="Times New Roman" w:eastAsia="Times New Roman" w:hAnsi="Times New Roman" w:cs="Times New Roman"/>
          <w:color w:val="000000"/>
          <w:sz w:val="26"/>
          <w:szCs w:val="26"/>
          <w:lang w:eastAsia="ru-RU"/>
        </w:rPr>
        <w:t>В соответствии с утвержденным комитетом кредиторов Банка порядком конкурсным управляющим в период с 21 февраля по 6 мая 2019 г. осуществляется реализация имущества Банка балансовой стоимостью менее 100 тыс. руб. По состоянию на отчетную дату заявки на приобретение имущества не поступали.</w:t>
      </w:r>
    </w:p>
    <w:p w:rsidR="00D6781F" w:rsidRPr="00D6781F" w:rsidRDefault="00D6781F" w:rsidP="00D6781F">
      <w:pPr>
        <w:spacing w:after="0" w:line="240" w:lineRule="auto"/>
        <w:ind w:firstLine="709"/>
        <w:jc w:val="both"/>
        <w:rPr>
          <w:rFonts w:ascii="Times New Roman" w:eastAsia="Times New Roman" w:hAnsi="Times New Roman" w:cs="Times New Roman"/>
          <w:color w:val="000000"/>
          <w:sz w:val="26"/>
          <w:szCs w:val="26"/>
          <w:lang w:eastAsia="ru-RU"/>
        </w:rPr>
      </w:pPr>
      <w:r w:rsidRPr="00D6781F">
        <w:rPr>
          <w:rFonts w:ascii="Times New Roman" w:eastAsia="Times New Roman" w:hAnsi="Times New Roman" w:cs="Times New Roman"/>
          <w:color w:val="000000"/>
          <w:sz w:val="26"/>
          <w:szCs w:val="26"/>
          <w:lang w:eastAsia="ru-RU"/>
        </w:rPr>
        <w:t>Конкурсным управляющим осуществляются мероприятия по взысканию ссудной задолженности с должников Банка в судебном порядке. По состоянию на 1 апреля 2019 г. в суды подано 1 389 исковых заявлений на сумму 1 238 767 тыс. руб., из которых удовлетворено 1 336 исковых заявлений на сумму 307 369 тыс. руб., по 1 исковому заявлению на сумму 175 тыс. руб. производство прекращено, на рассмотрении в судах находятся 52 исковых заявления на сумму 931 223 тыс. руб.</w:t>
      </w:r>
    </w:p>
    <w:p w:rsidR="00D6781F" w:rsidRPr="00D6781F" w:rsidRDefault="00D6781F" w:rsidP="00D6781F">
      <w:pPr>
        <w:spacing w:after="0" w:line="240" w:lineRule="auto"/>
        <w:ind w:firstLine="709"/>
        <w:jc w:val="both"/>
        <w:rPr>
          <w:rFonts w:ascii="Times New Roman" w:eastAsia="Times New Roman" w:hAnsi="Times New Roman" w:cs="Times New Roman"/>
          <w:color w:val="000000"/>
          <w:sz w:val="26"/>
          <w:szCs w:val="26"/>
          <w:lang w:eastAsia="ru-RU"/>
        </w:rPr>
      </w:pPr>
      <w:r w:rsidRPr="00D6781F">
        <w:rPr>
          <w:rFonts w:ascii="Times New Roman" w:eastAsia="Times New Roman" w:hAnsi="Times New Roman" w:cs="Times New Roman"/>
          <w:color w:val="000000"/>
          <w:sz w:val="26"/>
          <w:szCs w:val="26"/>
          <w:lang w:eastAsia="ru-RU"/>
        </w:rPr>
        <w:t>На основании вступивших в законную силу судебных актов возбуждено 1 304 исполнительных производства на сумму 195 800 тыс. руб.</w:t>
      </w:r>
    </w:p>
    <w:p w:rsidR="00D6781F" w:rsidRPr="00D6781F" w:rsidRDefault="00D6781F" w:rsidP="00D6781F">
      <w:pPr>
        <w:spacing w:after="0" w:line="240" w:lineRule="auto"/>
        <w:ind w:firstLine="709"/>
        <w:jc w:val="both"/>
        <w:rPr>
          <w:rFonts w:ascii="Times New Roman" w:eastAsia="Times New Roman" w:hAnsi="Times New Roman" w:cs="Times New Roman"/>
          <w:color w:val="000000"/>
          <w:sz w:val="26"/>
          <w:szCs w:val="26"/>
          <w:lang w:eastAsia="ru-RU"/>
        </w:rPr>
      </w:pPr>
      <w:r w:rsidRPr="00D6781F">
        <w:rPr>
          <w:rFonts w:ascii="Times New Roman" w:eastAsia="Times New Roman" w:hAnsi="Times New Roman" w:cs="Times New Roman"/>
          <w:color w:val="000000"/>
          <w:sz w:val="26"/>
          <w:szCs w:val="26"/>
          <w:lang w:eastAsia="ru-RU"/>
        </w:rPr>
        <w:t>Конкурсным управляющим проведена проверка деятельности Банка на предмет выявления сделок, имеющих в соответствии с требованиями Федерального закона признаки недействительности, по результатам которой по состоянию на 1 апреля 2019 г. в суд подано 1 заявление на сумму 8 328 тыс. руб., которое находится на рассмотрении.</w:t>
      </w:r>
    </w:p>
    <w:p w:rsidR="00D6781F" w:rsidRPr="00D6781F" w:rsidRDefault="00D6781F" w:rsidP="00D6781F">
      <w:pPr>
        <w:spacing w:after="0" w:line="240" w:lineRule="auto"/>
        <w:ind w:firstLine="709"/>
        <w:jc w:val="both"/>
        <w:rPr>
          <w:rFonts w:ascii="Times New Roman" w:eastAsia="Times New Roman" w:hAnsi="Times New Roman" w:cs="Times New Roman"/>
          <w:color w:val="000000"/>
          <w:sz w:val="26"/>
          <w:szCs w:val="26"/>
          <w:lang w:eastAsia="ru-RU"/>
        </w:rPr>
      </w:pPr>
      <w:r w:rsidRPr="00D6781F">
        <w:rPr>
          <w:rFonts w:ascii="Times New Roman" w:eastAsia="Times New Roman" w:hAnsi="Times New Roman" w:cs="Times New Roman"/>
          <w:color w:val="000000"/>
          <w:sz w:val="26"/>
          <w:szCs w:val="26"/>
          <w:lang w:eastAsia="ru-RU"/>
        </w:rPr>
        <w:t>По состоянию на 1 апреля 2019 г. в результате исковой работы в конкурсную массу Банка поступили денежные средства в размере 8 497 тыс. руб.</w:t>
      </w:r>
    </w:p>
    <w:p w:rsidR="00D6781F" w:rsidRPr="00D6781F" w:rsidRDefault="00D6781F" w:rsidP="00D6781F">
      <w:pPr>
        <w:spacing w:after="0" w:line="240" w:lineRule="auto"/>
        <w:ind w:firstLine="709"/>
        <w:jc w:val="both"/>
        <w:rPr>
          <w:rFonts w:ascii="Times New Roman" w:eastAsia="Times New Roman" w:hAnsi="Times New Roman" w:cs="Times New Roman"/>
          <w:color w:val="000000"/>
          <w:sz w:val="26"/>
          <w:szCs w:val="26"/>
          <w:lang w:eastAsia="ru-RU"/>
        </w:rPr>
      </w:pPr>
      <w:r w:rsidRPr="00D6781F">
        <w:rPr>
          <w:rFonts w:ascii="Times New Roman" w:eastAsia="Times New Roman" w:hAnsi="Times New Roman" w:cs="Times New Roman"/>
          <w:color w:val="000000"/>
          <w:sz w:val="26"/>
          <w:szCs w:val="26"/>
          <w:lang w:eastAsia="ru-RU"/>
        </w:rPr>
        <w:t>Конкурсным управляющим проводится проверка обстоятельств банкротства Банка, по результатам которой, в случае выявления соответствующих оснований, будут приняты меры по привлечению к ответственности лиц, виновных в банкротстве Банка.</w:t>
      </w:r>
    </w:p>
    <w:p w:rsidR="00D6781F" w:rsidRPr="00D6781F" w:rsidRDefault="00D6781F" w:rsidP="00D6781F">
      <w:pPr>
        <w:spacing w:after="0" w:line="240" w:lineRule="auto"/>
        <w:ind w:firstLine="709"/>
        <w:jc w:val="both"/>
        <w:rPr>
          <w:rFonts w:ascii="Times New Roman" w:eastAsia="Times New Roman" w:hAnsi="Times New Roman" w:cs="Times New Roman"/>
          <w:color w:val="000000"/>
          <w:sz w:val="26"/>
          <w:szCs w:val="26"/>
          <w:lang w:eastAsia="ru-RU"/>
        </w:rPr>
      </w:pPr>
      <w:r w:rsidRPr="00D6781F">
        <w:rPr>
          <w:rFonts w:ascii="Times New Roman" w:eastAsia="Times New Roman" w:hAnsi="Times New Roman" w:cs="Times New Roman"/>
          <w:color w:val="000000"/>
          <w:sz w:val="26"/>
          <w:szCs w:val="26"/>
          <w:lang w:eastAsia="ru-RU"/>
        </w:rPr>
        <w:t>27 сентября 2018 г. СУ УМВД России по Хабаровскому краю, по результатам рассмотрения заявления временной администрации по управлению Банком по факту хищения имущества Банка путем заключений ряда заведомо невыгодных договоров уступки прав требования, а также реализации земельного участка и жилого дома по заниженной стоимости, имеющих признаки вывода активов, вынесено постановление об отказе в возбуждении уголовного дела по основанию, предусмотренному п. 2 ч. 1 ст. 24 УПК РФ, в связи с отсутствием в действиях бывшего Председателя Правления Банка состава преступления, предусмотренного ч. 2 ст. 201 УК РФ.</w:t>
      </w:r>
    </w:p>
    <w:p w:rsidR="00D6781F" w:rsidRPr="00D6781F" w:rsidRDefault="00D6781F" w:rsidP="00D6781F">
      <w:pPr>
        <w:spacing w:after="0" w:line="240" w:lineRule="auto"/>
        <w:ind w:firstLine="709"/>
        <w:jc w:val="both"/>
        <w:rPr>
          <w:rFonts w:ascii="Times New Roman" w:eastAsia="Times New Roman" w:hAnsi="Times New Roman" w:cs="Times New Roman"/>
          <w:color w:val="000000"/>
          <w:sz w:val="26"/>
          <w:szCs w:val="26"/>
          <w:lang w:eastAsia="ru-RU"/>
        </w:rPr>
      </w:pPr>
      <w:r w:rsidRPr="00D6781F">
        <w:rPr>
          <w:rFonts w:ascii="Times New Roman" w:eastAsia="Times New Roman" w:hAnsi="Times New Roman" w:cs="Times New Roman"/>
          <w:color w:val="000000"/>
          <w:sz w:val="26"/>
          <w:szCs w:val="26"/>
          <w:lang w:eastAsia="ru-RU"/>
        </w:rPr>
        <w:t>11 октября 2018 г. СУ УМВД России по Хабаровскому краю, по результатам рассмотрения заявления временной администрации по управлению Банком по факту хищения имущества Банка, выявленного временной администрацией по управлению Банком по результатам проведения инвентаризации имущества Банка и заявления Центрального Банка России о выявленных операциях Банка, вынесены постановления об отказе в возбуждении уголовных дел по основанию, предусмотренному п. 12 ч. 1 ст. 24 УПК РФ в связи с отсутствием в событиях преступления, предусмотренного ч. 4 ст. 158 УК РФ.</w:t>
      </w:r>
    </w:p>
    <w:p w:rsidR="00D6781F" w:rsidRPr="00D6781F" w:rsidRDefault="00D6781F" w:rsidP="00D6781F">
      <w:pPr>
        <w:spacing w:after="0" w:line="240" w:lineRule="auto"/>
        <w:ind w:firstLine="709"/>
        <w:jc w:val="both"/>
        <w:rPr>
          <w:rFonts w:ascii="Times New Roman" w:eastAsia="Times New Roman" w:hAnsi="Times New Roman" w:cs="Times New Roman"/>
          <w:color w:val="000000"/>
          <w:sz w:val="26"/>
          <w:szCs w:val="26"/>
          <w:lang w:eastAsia="ru-RU"/>
        </w:rPr>
      </w:pPr>
      <w:r w:rsidRPr="00D6781F">
        <w:rPr>
          <w:rFonts w:ascii="Times New Roman" w:eastAsia="Times New Roman" w:hAnsi="Times New Roman" w:cs="Times New Roman"/>
          <w:color w:val="000000"/>
          <w:sz w:val="26"/>
          <w:szCs w:val="26"/>
          <w:lang w:eastAsia="ru-RU"/>
        </w:rPr>
        <w:t>В соответствии с требованиями Федерального закона Агентство публикует отчет об исполнении сметы текущих расходов и сведения о стоимости нереализованного имущества Банка.</w:t>
      </w:r>
    </w:p>
    <w:p w:rsidR="00D6781F" w:rsidRDefault="00D6781F" w:rsidP="00D6781F">
      <w:pPr>
        <w:spacing w:after="0" w:line="240" w:lineRule="auto"/>
        <w:jc w:val="center"/>
        <w:rPr>
          <w:rFonts w:ascii="Times New Roman" w:eastAsia="Times New Roman" w:hAnsi="Times New Roman" w:cs="Times New Roman"/>
          <w:b/>
          <w:bCs/>
          <w:color w:val="000000"/>
          <w:sz w:val="26"/>
          <w:szCs w:val="26"/>
          <w:lang w:eastAsia="ru-RU"/>
        </w:rPr>
      </w:pPr>
    </w:p>
    <w:p w:rsidR="00D6781F" w:rsidRDefault="00D6781F" w:rsidP="00D6781F">
      <w:pPr>
        <w:spacing w:after="0" w:line="240" w:lineRule="auto"/>
        <w:jc w:val="center"/>
        <w:rPr>
          <w:rFonts w:ascii="Times New Roman" w:eastAsia="Times New Roman" w:hAnsi="Times New Roman" w:cs="Times New Roman"/>
          <w:b/>
          <w:bCs/>
          <w:color w:val="000000"/>
          <w:sz w:val="26"/>
          <w:szCs w:val="26"/>
          <w:lang w:eastAsia="ru-RU"/>
        </w:rPr>
      </w:pPr>
    </w:p>
    <w:p w:rsidR="00D6781F" w:rsidRDefault="00D6781F" w:rsidP="00D6781F">
      <w:pPr>
        <w:spacing w:after="0" w:line="240" w:lineRule="auto"/>
        <w:jc w:val="center"/>
        <w:rPr>
          <w:rFonts w:ascii="Times New Roman" w:eastAsia="Times New Roman" w:hAnsi="Times New Roman" w:cs="Times New Roman"/>
          <w:b/>
          <w:bCs/>
          <w:color w:val="000000"/>
          <w:sz w:val="26"/>
          <w:szCs w:val="26"/>
          <w:lang w:eastAsia="ru-RU"/>
        </w:rPr>
      </w:pPr>
    </w:p>
    <w:p w:rsidR="00D6781F" w:rsidRDefault="00D6781F" w:rsidP="00D6781F">
      <w:pPr>
        <w:spacing w:after="0" w:line="240" w:lineRule="auto"/>
        <w:jc w:val="center"/>
        <w:rPr>
          <w:rFonts w:ascii="Times New Roman" w:eastAsia="Times New Roman" w:hAnsi="Times New Roman" w:cs="Times New Roman"/>
          <w:b/>
          <w:bCs/>
          <w:color w:val="000000"/>
          <w:sz w:val="26"/>
          <w:szCs w:val="26"/>
          <w:lang w:eastAsia="ru-RU"/>
        </w:rPr>
      </w:pPr>
    </w:p>
    <w:p w:rsidR="00D6781F" w:rsidRDefault="00D6781F" w:rsidP="00D6781F">
      <w:pPr>
        <w:spacing w:after="0" w:line="240" w:lineRule="auto"/>
        <w:jc w:val="center"/>
        <w:rPr>
          <w:rFonts w:ascii="Times New Roman" w:eastAsia="Times New Roman" w:hAnsi="Times New Roman" w:cs="Times New Roman"/>
          <w:b/>
          <w:bCs/>
          <w:color w:val="000000"/>
          <w:sz w:val="26"/>
          <w:szCs w:val="26"/>
          <w:lang w:eastAsia="ru-RU"/>
        </w:rPr>
      </w:pPr>
    </w:p>
    <w:p w:rsidR="00D6781F" w:rsidRPr="00D6781F" w:rsidRDefault="00D6781F" w:rsidP="00D6781F">
      <w:pPr>
        <w:spacing w:after="0" w:line="240" w:lineRule="auto"/>
        <w:jc w:val="center"/>
        <w:rPr>
          <w:rFonts w:ascii="Times New Roman" w:eastAsia="Times New Roman" w:hAnsi="Times New Roman" w:cs="Times New Roman"/>
          <w:color w:val="000000"/>
          <w:sz w:val="26"/>
          <w:szCs w:val="26"/>
          <w:lang w:eastAsia="ru-RU"/>
        </w:rPr>
      </w:pPr>
      <w:r w:rsidRPr="00D6781F">
        <w:rPr>
          <w:rFonts w:ascii="Times New Roman" w:eastAsia="Times New Roman" w:hAnsi="Times New Roman" w:cs="Times New Roman"/>
          <w:b/>
          <w:bCs/>
          <w:color w:val="000000"/>
          <w:sz w:val="26"/>
          <w:szCs w:val="26"/>
          <w:lang w:eastAsia="ru-RU"/>
        </w:rPr>
        <w:t>Отчет об исполнении сметы расходов (затрат) по проведению мероприятий конкурсного производства в отношении Банка «Уссури» (АО)</w:t>
      </w:r>
    </w:p>
    <w:p w:rsidR="00D6781F" w:rsidRPr="00D6781F" w:rsidRDefault="00D6781F" w:rsidP="00D6781F">
      <w:pPr>
        <w:spacing w:after="0" w:line="240" w:lineRule="auto"/>
        <w:jc w:val="center"/>
        <w:rPr>
          <w:rFonts w:ascii="Times New Roman" w:eastAsia="Times New Roman" w:hAnsi="Times New Roman" w:cs="Times New Roman"/>
          <w:color w:val="000000"/>
          <w:sz w:val="26"/>
          <w:szCs w:val="26"/>
          <w:lang w:eastAsia="ru-RU"/>
        </w:rPr>
      </w:pPr>
      <w:r w:rsidRPr="00D6781F">
        <w:rPr>
          <w:rFonts w:ascii="Times New Roman" w:eastAsia="Times New Roman" w:hAnsi="Times New Roman" w:cs="Times New Roman"/>
          <w:b/>
          <w:bCs/>
          <w:color w:val="000000"/>
          <w:sz w:val="26"/>
          <w:szCs w:val="26"/>
          <w:lang w:eastAsia="ru-RU"/>
        </w:rPr>
        <w:t>за период с 18 октября 2018 г. по 31 марта 2019 г.</w:t>
      </w:r>
    </w:p>
    <w:p w:rsidR="00D6781F" w:rsidRPr="00D6781F" w:rsidRDefault="00D6781F" w:rsidP="00D6781F">
      <w:pPr>
        <w:spacing w:after="0" w:line="240" w:lineRule="auto"/>
        <w:jc w:val="right"/>
        <w:rPr>
          <w:rFonts w:ascii="Times New Roman" w:eastAsia="Times New Roman" w:hAnsi="Times New Roman" w:cs="Times New Roman"/>
          <w:color w:val="000000"/>
          <w:lang w:eastAsia="ru-RU"/>
        </w:rPr>
      </w:pPr>
      <w:r w:rsidRPr="00D6781F">
        <w:rPr>
          <w:rFonts w:ascii="Times New Roman" w:eastAsia="Times New Roman" w:hAnsi="Times New Roman" w:cs="Times New Roman"/>
          <w:color w:val="000000"/>
          <w:lang w:eastAsia="ru-RU"/>
        </w:rPr>
        <w:t>(тыс. руб.)</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97"/>
        <w:gridCol w:w="5015"/>
        <w:gridCol w:w="1122"/>
        <w:gridCol w:w="1122"/>
        <w:gridCol w:w="1659"/>
      </w:tblGrid>
      <w:tr w:rsidR="00D6781F" w:rsidRPr="00D6781F" w:rsidTr="00D6781F">
        <w:trPr>
          <w:trHeight w:val="299"/>
          <w:tblCellSpacing w:w="20" w:type="dxa"/>
        </w:trPr>
        <w:tc>
          <w:tcPr>
            <w:tcW w:w="331" w:type="pct"/>
            <w:vMerge w:val="restart"/>
            <w:tcMar>
              <w:top w:w="75" w:type="dxa"/>
              <w:left w:w="75" w:type="dxa"/>
              <w:bottom w:w="75" w:type="dxa"/>
              <w:right w:w="75" w:type="dxa"/>
            </w:tcMar>
            <w:vAlign w:val="center"/>
            <w:hideMark/>
          </w:tcPr>
          <w:p w:rsidR="00D6781F" w:rsidRPr="00D6781F" w:rsidRDefault="00D6781F" w:rsidP="00D6781F">
            <w:pPr>
              <w:spacing w:after="0" w:line="240" w:lineRule="auto"/>
              <w:jc w:val="center"/>
              <w:rPr>
                <w:rFonts w:ascii="Times New Roman" w:eastAsia="Times New Roman" w:hAnsi="Times New Roman" w:cs="Times New Roman"/>
                <w:color w:val="000000"/>
                <w:lang w:eastAsia="ru-RU"/>
              </w:rPr>
            </w:pPr>
            <w:r w:rsidRPr="00D6781F">
              <w:rPr>
                <w:rFonts w:ascii="Times New Roman" w:eastAsia="Times New Roman" w:hAnsi="Times New Roman" w:cs="Times New Roman"/>
                <w:b/>
                <w:bCs/>
                <w:color w:val="000000"/>
                <w:lang w:eastAsia="ru-RU"/>
              </w:rPr>
              <w:t>№ п/п</w:t>
            </w:r>
          </w:p>
        </w:tc>
        <w:tc>
          <w:tcPr>
            <w:tcW w:w="2587" w:type="pct"/>
            <w:vMerge w:val="restart"/>
            <w:tcMar>
              <w:top w:w="75" w:type="dxa"/>
              <w:left w:w="75" w:type="dxa"/>
              <w:bottom w:w="75" w:type="dxa"/>
              <w:right w:w="75" w:type="dxa"/>
            </w:tcMar>
            <w:vAlign w:val="center"/>
            <w:hideMark/>
          </w:tcPr>
          <w:p w:rsidR="00D6781F" w:rsidRPr="00D6781F" w:rsidRDefault="00D6781F" w:rsidP="00D6781F">
            <w:pPr>
              <w:spacing w:after="0" w:line="240" w:lineRule="auto"/>
              <w:jc w:val="center"/>
              <w:rPr>
                <w:rFonts w:ascii="Times New Roman" w:eastAsia="Times New Roman" w:hAnsi="Times New Roman" w:cs="Times New Roman"/>
                <w:color w:val="000000"/>
                <w:lang w:eastAsia="ru-RU"/>
              </w:rPr>
            </w:pPr>
            <w:r w:rsidRPr="00D6781F">
              <w:rPr>
                <w:rFonts w:ascii="Times New Roman" w:eastAsia="Times New Roman" w:hAnsi="Times New Roman" w:cs="Times New Roman"/>
                <w:b/>
                <w:bCs/>
                <w:color w:val="000000"/>
                <w:lang w:eastAsia="ru-RU"/>
              </w:rPr>
              <w:t>Перечень расходов и затрат</w:t>
            </w:r>
          </w:p>
        </w:tc>
        <w:tc>
          <w:tcPr>
            <w:tcW w:w="563" w:type="pct"/>
            <w:vMerge w:val="restart"/>
            <w:tcMar>
              <w:top w:w="75" w:type="dxa"/>
              <w:left w:w="75" w:type="dxa"/>
              <w:bottom w:w="75" w:type="dxa"/>
              <w:right w:w="75" w:type="dxa"/>
            </w:tcMar>
            <w:vAlign w:val="center"/>
            <w:hideMark/>
          </w:tcPr>
          <w:p w:rsidR="00D6781F" w:rsidRPr="00D6781F" w:rsidRDefault="00D6781F" w:rsidP="00D6781F">
            <w:pPr>
              <w:spacing w:after="0" w:line="240" w:lineRule="auto"/>
              <w:jc w:val="center"/>
              <w:rPr>
                <w:rFonts w:ascii="Times New Roman" w:eastAsia="Times New Roman" w:hAnsi="Times New Roman" w:cs="Times New Roman"/>
                <w:color w:val="000000"/>
                <w:lang w:eastAsia="ru-RU"/>
              </w:rPr>
            </w:pPr>
            <w:r w:rsidRPr="00D6781F">
              <w:rPr>
                <w:rFonts w:ascii="Times New Roman" w:eastAsia="Times New Roman" w:hAnsi="Times New Roman" w:cs="Times New Roman"/>
                <w:b/>
                <w:bCs/>
                <w:color w:val="000000"/>
                <w:lang w:eastAsia="ru-RU"/>
              </w:rPr>
              <w:t>План</w:t>
            </w:r>
          </w:p>
        </w:tc>
        <w:tc>
          <w:tcPr>
            <w:tcW w:w="563" w:type="pct"/>
            <w:vMerge w:val="restart"/>
            <w:tcMar>
              <w:top w:w="75" w:type="dxa"/>
              <w:left w:w="75" w:type="dxa"/>
              <w:bottom w:w="75" w:type="dxa"/>
              <w:right w:w="75" w:type="dxa"/>
            </w:tcMar>
            <w:vAlign w:val="center"/>
            <w:hideMark/>
          </w:tcPr>
          <w:p w:rsidR="00D6781F" w:rsidRPr="00D6781F" w:rsidRDefault="00D6781F" w:rsidP="00D6781F">
            <w:pPr>
              <w:spacing w:after="0" w:line="240" w:lineRule="auto"/>
              <w:jc w:val="center"/>
              <w:rPr>
                <w:rFonts w:ascii="Times New Roman" w:eastAsia="Times New Roman" w:hAnsi="Times New Roman" w:cs="Times New Roman"/>
                <w:color w:val="000000"/>
                <w:lang w:eastAsia="ru-RU"/>
              </w:rPr>
            </w:pPr>
            <w:r w:rsidRPr="00D6781F">
              <w:rPr>
                <w:rFonts w:ascii="Times New Roman" w:eastAsia="Times New Roman" w:hAnsi="Times New Roman" w:cs="Times New Roman"/>
                <w:b/>
                <w:bCs/>
                <w:color w:val="000000"/>
                <w:lang w:eastAsia="ru-RU"/>
              </w:rPr>
              <w:t>Факт</w:t>
            </w:r>
          </w:p>
        </w:tc>
        <w:tc>
          <w:tcPr>
            <w:tcW w:w="832" w:type="pct"/>
            <w:vMerge w:val="restart"/>
            <w:tcMar>
              <w:top w:w="75" w:type="dxa"/>
              <w:left w:w="75" w:type="dxa"/>
              <w:bottom w:w="75" w:type="dxa"/>
              <w:right w:w="75" w:type="dxa"/>
            </w:tcMar>
            <w:vAlign w:val="center"/>
            <w:hideMark/>
          </w:tcPr>
          <w:p w:rsidR="00D6781F" w:rsidRPr="00D6781F" w:rsidRDefault="00D6781F" w:rsidP="00D6781F">
            <w:pPr>
              <w:spacing w:after="0" w:line="240" w:lineRule="auto"/>
              <w:jc w:val="center"/>
              <w:rPr>
                <w:rFonts w:ascii="Times New Roman" w:eastAsia="Times New Roman" w:hAnsi="Times New Roman" w:cs="Times New Roman"/>
                <w:color w:val="000000"/>
                <w:lang w:eastAsia="ru-RU"/>
              </w:rPr>
            </w:pPr>
            <w:r w:rsidRPr="00D6781F">
              <w:rPr>
                <w:rFonts w:ascii="Times New Roman" w:eastAsia="Times New Roman" w:hAnsi="Times New Roman" w:cs="Times New Roman"/>
                <w:b/>
                <w:bCs/>
                <w:color w:val="000000"/>
                <w:lang w:eastAsia="ru-RU"/>
              </w:rPr>
              <w:t>Экономия (+)/ перерасход (-)</w:t>
            </w:r>
          </w:p>
        </w:tc>
      </w:tr>
      <w:tr w:rsidR="00D6781F" w:rsidRPr="00D6781F" w:rsidTr="00D6781F">
        <w:trPr>
          <w:trHeight w:val="299"/>
          <w:tblCellSpacing w:w="20" w:type="dxa"/>
        </w:trPr>
        <w:tc>
          <w:tcPr>
            <w:tcW w:w="331" w:type="pct"/>
            <w:vMerge/>
            <w:vAlign w:val="center"/>
            <w:hideMark/>
          </w:tcPr>
          <w:p w:rsidR="00D6781F" w:rsidRPr="00D6781F" w:rsidRDefault="00D6781F" w:rsidP="00D6781F">
            <w:pPr>
              <w:spacing w:after="0" w:line="240" w:lineRule="auto"/>
              <w:jc w:val="center"/>
              <w:rPr>
                <w:rFonts w:ascii="Times New Roman" w:eastAsia="Times New Roman" w:hAnsi="Times New Roman" w:cs="Times New Roman"/>
                <w:color w:val="000000"/>
                <w:lang w:eastAsia="ru-RU"/>
              </w:rPr>
            </w:pPr>
          </w:p>
        </w:tc>
        <w:tc>
          <w:tcPr>
            <w:tcW w:w="2587" w:type="pct"/>
            <w:vMerge/>
            <w:vAlign w:val="center"/>
            <w:hideMark/>
          </w:tcPr>
          <w:p w:rsidR="00D6781F" w:rsidRPr="00D6781F" w:rsidRDefault="00D6781F" w:rsidP="00D6781F">
            <w:pPr>
              <w:spacing w:after="0" w:line="240" w:lineRule="auto"/>
              <w:jc w:val="center"/>
              <w:rPr>
                <w:rFonts w:ascii="Times New Roman" w:eastAsia="Times New Roman" w:hAnsi="Times New Roman" w:cs="Times New Roman"/>
                <w:color w:val="000000"/>
                <w:lang w:eastAsia="ru-RU"/>
              </w:rPr>
            </w:pPr>
          </w:p>
        </w:tc>
        <w:tc>
          <w:tcPr>
            <w:tcW w:w="563" w:type="pct"/>
            <w:vMerge/>
            <w:vAlign w:val="center"/>
            <w:hideMark/>
          </w:tcPr>
          <w:p w:rsidR="00D6781F" w:rsidRPr="00D6781F" w:rsidRDefault="00D6781F" w:rsidP="00D6781F">
            <w:pPr>
              <w:spacing w:after="0" w:line="240" w:lineRule="auto"/>
              <w:jc w:val="center"/>
              <w:rPr>
                <w:rFonts w:ascii="Times New Roman" w:eastAsia="Times New Roman" w:hAnsi="Times New Roman" w:cs="Times New Roman"/>
                <w:color w:val="000000"/>
                <w:lang w:eastAsia="ru-RU"/>
              </w:rPr>
            </w:pPr>
          </w:p>
        </w:tc>
        <w:tc>
          <w:tcPr>
            <w:tcW w:w="563" w:type="pct"/>
            <w:vMerge/>
            <w:vAlign w:val="center"/>
            <w:hideMark/>
          </w:tcPr>
          <w:p w:rsidR="00D6781F" w:rsidRPr="00D6781F" w:rsidRDefault="00D6781F" w:rsidP="00D6781F">
            <w:pPr>
              <w:spacing w:after="0" w:line="240" w:lineRule="auto"/>
              <w:jc w:val="center"/>
              <w:rPr>
                <w:rFonts w:ascii="Times New Roman" w:eastAsia="Times New Roman" w:hAnsi="Times New Roman" w:cs="Times New Roman"/>
                <w:color w:val="000000"/>
                <w:lang w:eastAsia="ru-RU"/>
              </w:rPr>
            </w:pPr>
          </w:p>
        </w:tc>
        <w:tc>
          <w:tcPr>
            <w:tcW w:w="832" w:type="pct"/>
            <w:vMerge/>
            <w:vAlign w:val="center"/>
            <w:hideMark/>
          </w:tcPr>
          <w:p w:rsidR="00D6781F" w:rsidRPr="00D6781F" w:rsidRDefault="00D6781F" w:rsidP="00D6781F">
            <w:pPr>
              <w:spacing w:after="0" w:line="240" w:lineRule="auto"/>
              <w:jc w:val="center"/>
              <w:rPr>
                <w:rFonts w:ascii="Times New Roman" w:eastAsia="Times New Roman" w:hAnsi="Times New Roman" w:cs="Times New Roman"/>
                <w:color w:val="000000"/>
                <w:lang w:eastAsia="ru-RU"/>
              </w:rPr>
            </w:pPr>
          </w:p>
        </w:tc>
      </w:tr>
      <w:tr w:rsidR="00D6781F" w:rsidRPr="00D6781F" w:rsidTr="00D6781F">
        <w:trPr>
          <w:tblCellSpacing w:w="20" w:type="dxa"/>
        </w:trPr>
        <w:tc>
          <w:tcPr>
            <w:tcW w:w="331" w:type="pct"/>
            <w:tcMar>
              <w:top w:w="75" w:type="dxa"/>
              <w:left w:w="75" w:type="dxa"/>
              <w:bottom w:w="75" w:type="dxa"/>
              <w:right w:w="75" w:type="dxa"/>
            </w:tcMar>
            <w:vAlign w:val="center"/>
            <w:hideMark/>
          </w:tcPr>
          <w:p w:rsidR="00D6781F" w:rsidRPr="00D6781F" w:rsidRDefault="00D6781F" w:rsidP="00D6781F">
            <w:pPr>
              <w:spacing w:after="0" w:line="240" w:lineRule="auto"/>
              <w:jc w:val="center"/>
              <w:rPr>
                <w:rFonts w:ascii="Times New Roman" w:eastAsia="Times New Roman" w:hAnsi="Times New Roman" w:cs="Times New Roman"/>
                <w:color w:val="000000"/>
                <w:lang w:eastAsia="ru-RU"/>
              </w:rPr>
            </w:pPr>
            <w:r w:rsidRPr="00D6781F">
              <w:rPr>
                <w:rFonts w:ascii="Times New Roman" w:eastAsia="Times New Roman" w:hAnsi="Times New Roman" w:cs="Times New Roman"/>
                <w:color w:val="000000"/>
                <w:lang w:eastAsia="ru-RU"/>
              </w:rPr>
              <w:t>1</w:t>
            </w:r>
          </w:p>
        </w:tc>
        <w:tc>
          <w:tcPr>
            <w:tcW w:w="2587" w:type="pct"/>
            <w:tcMar>
              <w:top w:w="75" w:type="dxa"/>
              <w:left w:w="75" w:type="dxa"/>
              <w:bottom w:w="75" w:type="dxa"/>
              <w:right w:w="75" w:type="dxa"/>
            </w:tcMar>
            <w:vAlign w:val="center"/>
            <w:hideMark/>
          </w:tcPr>
          <w:p w:rsidR="00D6781F" w:rsidRPr="00D6781F" w:rsidRDefault="00D6781F" w:rsidP="00D6781F">
            <w:pPr>
              <w:spacing w:after="0" w:line="240" w:lineRule="auto"/>
              <w:rPr>
                <w:rFonts w:ascii="Times New Roman" w:eastAsia="Times New Roman" w:hAnsi="Times New Roman" w:cs="Times New Roman"/>
                <w:color w:val="000000"/>
                <w:lang w:eastAsia="ru-RU"/>
              </w:rPr>
            </w:pPr>
            <w:r w:rsidRPr="00D6781F">
              <w:rPr>
                <w:rFonts w:ascii="Times New Roman" w:eastAsia="Times New Roman" w:hAnsi="Times New Roman" w:cs="Times New Roman"/>
                <w:color w:val="000000"/>
                <w:lang w:eastAsia="ru-RU"/>
              </w:rPr>
              <w:t>Административно-хозяйственные расходы</w:t>
            </w:r>
          </w:p>
        </w:tc>
        <w:tc>
          <w:tcPr>
            <w:tcW w:w="563" w:type="pct"/>
            <w:tcMar>
              <w:top w:w="75" w:type="dxa"/>
              <w:left w:w="75" w:type="dxa"/>
              <w:bottom w:w="75" w:type="dxa"/>
              <w:right w:w="75" w:type="dxa"/>
            </w:tcMar>
            <w:vAlign w:val="center"/>
            <w:hideMark/>
          </w:tcPr>
          <w:p w:rsidR="00D6781F" w:rsidRPr="00D6781F" w:rsidRDefault="00D6781F" w:rsidP="00D6781F">
            <w:pPr>
              <w:spacing w:after="0" w:line="240" w:lineRule="auto"/>
              <w:jc w:val="center"/>
              <w:rPr>
                <w:rFonts w:ascii="Times New Roman" w:eastAsia="Times New Roman" w:hAnsi="Times New Roman" w:cs="Times New Roman"/>
                <w:color w:val="000000"/>
                <w:lang w:eastAsia="ru-RU"/>
              </w:rPr>
            </w:pPr>
            <w:r w:rsidRPr="00D6781F">
              <w:rPr>
                <w:rFonts w:ascii="Times New Roman" w:eastAsia="Times New Roman" w:hAnsi="Times New Roman" w:cs="Times New Roman"/>
                <w:color w:val="000000"/>
                <w:lang w:eastAsia="ru-RU"/>
              </w:rPr>
              <w:t>70 980</w:t>
            </w:r>
          </w:p>
        </w:tc>
        <w:tc>
          <w:tcPr>
            <w:tcW w:w="563" w:type="pct"/>
            <w:tcMar>
              <w:top w:w="75" w:type="dxa"/>
              <w:left w:w="75" w:type="dxa"/>
              <w:bottom w:w="75" w:type="dxa"/>
              <w:right w:w="75" w:type="dxa"/>
            </w:tcMar>
            <w:vAlign w:val="center"/>
            <w:hideMark/>
          </w:tcPr>
          <w:p w:rsidR="00D6781F" w:rsidRPr="00D6781F" w:rsidRDefault="00D6781F" w:rsidP="00D6781F">
            <w:pPr>
              <w:spacing w:after="0" w:line="240" w:lineRule="auto"/>
              <w:jc w:val="center"/>
              <w:rPr>
                <w:rFonts w:ascii="Times New Roman" w:eastAsia="Times New Roman" w:hAnsi="Times New Roman" w:cs="Times New Roman"/>
                <w:color w:val="000000"/>
                <w:lang w:eastAsia="ru-RU"/>
              </w:rPr>
            </w:pPr>
            <w:r w:rsidRPr="00D6781F">
              <w:rPr>
                <w:rFonts w:ascii="Times New Roman" w:eastAsia="Times New Roman" w:hAnsi="Times New Roman" w:cs="Times New Roman"/>
                <w:color w:val="000000"/>
                <w:lang w:eastAsia="ru-RU"/>
              </w:rPr>
              <w:t>26 706</w:t>
            </w:r>
          </w:p>
        </w:tc>
        <w:tc>
          <w:tcPr>
            <w:tcW w:w="832" w:type="pct"/>
            <w:tcMar>
              <w:top w:w="75" w:type="dxa"/>
              <w:left w:w="75" w:type="dxa"/>
              <w:bottom w:w="75" w:type="dxa"/>
              <w:right w:w="75" w:type="dxa"/>
            </w:tcMar>
            <w:vAlign w:val="center"/>
            <w:hideMark/>
          </w:tcPr>
          <w:p w:rsidR="00D6781F" w:rsidRPr="00D6781F" w:rsidRDefault="00D6781F" w:rsidP="00D6781F">
            <w:pPr>
              <w:spacing w:after="0" w:line="240" w:lineRule="auto"/>
              <w:jc w:val="center"/>
              <w:rPr>
                <w:rFonts w:ascii="Times New Roman" w:eastAsia="Times New Roman" w:hAnsi="Times New Roman" w:cs="Times New Roman"/>
                <w:color w:val="000000"/>
                <w:lang w:eastAsia="ru-RU"/>
              </w:rPr>
            </w:pPr>
            <w:r w:rsidRPr="00D6781F">
              <w:rPr>
                <w:rFonts w:ascii="Times New Roman" w:eastAsia="Times New Roman" w:hAnsi="Times New Roman" w:cs="Times New Roman"/>
                <w:color w:val="000000"/>
                <w:lang w:eastAsia="ru-RU"/>
              </w:rPr>
              <w:t>+44 274</w:t>
            </w:r>
          </w:p>
        </w:tc>
      </w:tr>
      <w:tr w:rsidR="00D6781F" w:rsidRPr="00D6781F" w:rsidTr="00D6781F">
        <w:trPr>
          <w:tblCellSpacing w:w="20" w:type="dxa"/>
        </w:trPr>
        <w:tc>
          <w:tcPr>
            <w:tcW w:w="331" w:type="pct"/>
            <w:tcMar>
              <w:top w:w="75" w:type="dxa"/>
              <w:left w:w="75" w:type="dxa"/>
              <w:bottom w:w="75" w:type="dxa"/>
              <w:right w:w="75" w:type="dxa"/>
            </w:tcMar>
            <w:vAlign w:val="center"/>
            <w:hideMark/>
          </w:tcPr>
          <w:p w:rsidR="00D6781F" w:rsidRPr="00D6781F" w:rsidRDefault="00D6781F" w:rsidP="00D6781F">
            <w:pPr>
              <w:spacing w:after="0" w:line="240" w:lineRule="auto"/>
              <w:jc w:val="center"/>
              <w:rPr>
                <w:rFonts w:ascii="Times New Roman" w:eastAsia="Times New Roman" w:hAnsi="Times New Roman" w:cs="Times New Roman"/>
                <w:color w:val="000000"/>
                <w:lang w:eastAsia="ru-RU"/>
              </w:rPr>
            </w:pPr>
            <w:r w:rsidRPr="00D6781F">
              <w:rPr>
                <w:rFonts w:ascii="Times New Roman" w:eastAsia="Times New Roman" w:hAnsi="Times New Roman" w:cs="Times New Roman"/>
                <w:color w:val="000000"/>
                <w:lang w:eastAsia="ru-RU"/>
              </w:rPr>
              <w:t>2</w:t>
            </w:r>
          </w:p>
        </w:tc>
        <w:tc>
          <w:tcPr>
            <w:tcW w:w="2587" w:type="pct"/>
            <w:tcMar>
              <w:top w:w="75" w:type="dxa"/>
              <w:left w:w="75" w:type="dxa"/>
              <w:bottom w:w="75" w:type="dxa"/>
              <w:right w:w="75" w:type="dxa"/>
            </w:tcMar>
            <w:vAlign w:val="center"/>
            <w:hideMark/>
          </w:tcPr>
          <w:p w:rsidR="00D6781F" w:rsidRPr="00D6781F" w:rsidRDefault="00D6781F" w:rsidP="00D6781F">
            <w:pPr>
              <w:spacing w:after="0" w:line="240" w:lineRule="auto"/>
              <w:rPr>
                <w:rFonts w:ascii="Times New Roman" w:eastAsia="Times New Roman" w:hAnsi="Times New Roman" w:cs="Times New Roman"/>
                <w:color w:val="000000"/>
                <w:lang w:eastAsia="ru-RU"/>
              </w:rPr>
            </w:pPr>
            <w:r w:rsidRPr="00D6781F">
              <w:rPr>
                <w:rFonts w:ascii="Times New Roman" w:eastAsia="Times New Roman" w:hAnsi="Times New Roman" w:cs="Times New Roman"/>
                <w:color w:val="000000"/>
                <w:lang w:eastAsia="ru-RU"/>
              </w:rPr>
              <w:t>Расходы на содержание аппарата</w:t>
            </w:r>
          </w:p>
        </w:tc>
        <w:tc>
          <w:tcPr>
            <w:tcW w:w="563" w:type="pct"/>
            <w:tcMar>
              <w:top w:w="75" w:type="dxa"/>
              <w:left w:w="75" w:type="dxa"/>
              <w:bottom w:w="75" w:type="dxa"/>
              <w:right w:w="75" w:type="dxa"/>
            </w:tcMar>
            <w:vAlign w:val="center"/>
            <w:hideMark/>
          </w:tcPr>
          <w:p w:rsidR="00D6781F" w:rsidRPr="00D6781F" w:rsidRDefault="00D6781F" w:rsidP="00D6781F">
            <w:pPr>
              <w:spacing w:after="0" w:line="240" w:lineRule="auto"/>
              <w:jc w:val="center"/>
              <w:rPr>
                <w:rFonts w:ascii="Times New Roman" w:eastAsia="Times New Roman" w:hAnsi="Times New Roman" w:cs="Times New Roman"/>
                <w:color w:val="000000"/>
                <w:lang w:eastAsia="ru-RU"/>
              </w:rPr>
            </w:pPr>
            <w:r w:rsidRPr="00D6781F">
              <w:rPr>
                <w:rFonts w:ascii="Times New Roman" w:eastAsia="Times New Roman" w:hAnsi="Times New Roman" w:cs="Times New Roman"/>
                <w:color w:val="000000"/>
                <w:lang w:eastAsia="ru-RU"/>
              </w:rPr>
              <w:t>36 523</w:t>
            </w:r>
          </w:p>
        </w:tc>
        <w:tc>
          <w:tcPr>
            <w:tcW w:w="563" w:type="pct"/>
            <w:tcMar>
              <w:top w:w="75" w:type="dxa"/>
              <w:left w:w="75" w:type="dxa"/>
              <w:bottom w:w="75" w:type="dxa"/>
              <w:right w:w="75" w:type="dxa"/>
            </w:tcMar>
            <w:vAlign w:val="center"/>
            <w:hideMark/>
          </w:tcPr>
          <w:p w:rsidR="00D6781F" w:rsidRPr="00D6781F" w:rsidRDefault="00D6781F" w:rsidP="00D6781F">
            <w:pPr>
              <w:spacing w:after="0" w:line="240" w:lineRule="auto"/>
              <w:jc w:val="center"/>
              <w:rPr>
                <w:rFonts w:ascii="Times New Roman" w:eastAsia="Times New Roman" w:hAnsi="Times New Roman" w:cs="Times New Roman"/>
                <w:color w:val="000000"/>
                <w:lang w:eastAsia="ru-RU"/>
              </w:rPr>
            </w:pPr>
            <w:r w:rsidRPr="00D6781F">
              <w:rPr>
                <w:rFonts w:ascii="Times New Roman" w:eastAsia="Times New Roman" w:hAnsi="Times New Roman" w:cs="Times New Roman"/>
                <w:color w:val="000000"/>
                <w:lang w:eastAsia="ru-RU"/>
              </w:rPr>
              <w:t>16 203</w:t>
            </w:r>
          </w:p>
        </w:tc>
        <w:tc>
          <w:tcPr>
            <w:tcW w:w="832" w:type="pct"/>
            <w:tcMar>
              <w:top w:w="75" w:type="dxa"/>
              <w:left w:w="75" w:type="dxa"/>
              <w:bottom w:w="75" w:type="dxa"/>
              <w:right w:w="75" w:type="dxa"/>
            </w:tcMar>
            <w:vAlign w:val="center"/>
            <w:hideMark/>
          </w:tcPr>
          <w:p w:rsidR="00D6781F" w:rsidRPr="00D6781F" w:rsidRDefault="00D6781F" w:rsidP="00D6781F">
            <w:pPr>
              <w:spacing w:after="0" w:line="240" w:lineRule="auto"/>
              <w:jc w:val="center"/>
              <w:rPr>
                <w:rFonts w:ascii="Times New Roman" w:eastAsia="Times New Roman" w:hAnsi="Times New Roman" w:cs="Times New Roman"/>
                <w:color w:val="000000"/>
                <w:lang w:eastAsia="ru-RU"/>
              </w:rPr>
            </w:pPr>
            <w:r w:rsidRPr="00D6781F">
              <w:rPr>
                <w:rFonts w:ascii="Times New Roman" w:eastAsia="Times New Roman" w:hAnsi="Times New Roman" w:cs="Times New Roman"/>
                <w:color w:val="000000"/>
                <w:lang w:eastAsia="ru-RU"/>
              </w:rPr>
              <w:t>+20 320</w:t>
            </w:r>
          </w:p>
        </w:tc>
      </w:tr>
      <w:tr w:rsidR="00D6781F" w:rsidRPr="00D6781F" w:rsidTr="00D6781F">
        <w:trPr>
          <w:tblCellSpacing w:w="20" w:type="dxa"/>
        </w:trPr>
        <w:tc>
          <w:tcPr>
            <w:tcW w:w="331" w:type="pct"/>
            <w:tcMar>
              <w:top w:w="75" w:type="dxa"/>
              <w:left w:w="75" w:type="dxa"/>
              <w:bottom w:w="75" w:type="dxa"/>
              <w:right w:w="75" w:type="dxa"/>
            </w:tcMar>
            <w:vAlign w:val="center"/>
            <w:hideMark/>
          </w:tcPr>
          <w:p w:rsidR="00D6781F" w:rsidRPr="00D6781F" w:rsidRDefault="00D6781F" w:rsidP="00D6781F">
            <w:pPr>
              <w:spacing w:after="0" w:line="240" w:lineRule="auto"/>
              <w:jc w:val="center"/>
              <w:rPr>
                <w:rFonts w:ascii="Times New Roman" w:eastAsia="Times New Roman" w:hAnsi="Times New Roman" w:cs="Times New Roman"/>
                <w:color w:val="000000"/>
                <w:lang w:eastAsia="ru-RU"/>
              </w:rPr>
            </w:pPr>
          </w:p>
        </w:tc>
        <w:tc>
          <w:tcPr>
            <w:tcW w:w="2587" w:type="pct"/>
            <w:tcMar>
              <w:top w:w="75" w:type="dxa"/>
              <w:left w:w="75" w:type="dxa"/>
              <w:bottom w:w="75" w:type="dxa"/>
              <w:right w:w="75" w:type="dxa"/>
            </w:tcMar>
            <w:vAlign w:val="center"/>
            <w:hideMark/>
          </w:tcPr>
          <w:p w:rsidR="00D6781F" w:rsidRPr="00D6781F" w:rsidRDefault="00D6781F" w:rsidP="00D6781F">
            <w:pPr>
              <w:spacing w:after="0" w:line="240" w:lineRule="auto"/>
              <w:rPr>
                <w:rFonts w:ascii="Times New Roman" w:eastAsia="Times New Roman" w:hAnsi="Times New Roman" w:cs="Times New Roman"/>
                <w:color w:val="000000"/>
                <w:lang w:eastAsia="ru-RU"/>
              </w:rPr>
            </w:pPr>
            <w:r w:rsidRPr="00D6781F">
              <w:rPr>
                <w:rFonts w:ascii="Times New Roman" w:eastAsia="Times New Roman" w:hAnsi="Times New Roman" w:cs="Times New Roman"/>
                <w:b/>
                <w:bCs/>
                <w:color w:val="000000"/>
                <w:lang w:eastAsia="ru-RU"/>
              </w:rPr>
              <w:t>Итого</w:t>
            </w:r>
          </w:p>
        </w:tc>
        <w:tc>
          <w:tcPr>
            <w:tcW w:w="563" w:type="pct"/>
            <w:tcMar>
              <w:top w:w="75" w:type="dxa"/>
              <w:left w:w="75" w:type="dxa"/>
              <w:bottom w:w="75" w:type="dxa"/>
              <w:right w:w="75" w:type="dxa"/>
            </w:tcMar>
            <w:vAlign w:val="center"/>
            <w:hideMark/>
          </w:tcPr>
          <w:p w:rsidR="00D6781F" w:rsidRPr="00D6781F" w:rsidRDefault="00D6781F" w:rsidP="00D6781F">
            <w:pPr>
              <w:spacing w:after="0" w:line="240" w:lineRule="auto"/>
              <w:jc w:val="center"/>
              <w:rPr>
                <w:rFonts w:ascii="Times New Roman" w:eastAsia="Times New Roman" w:hAnsi="Times New Roman" w:cs="Times New Roman"/>
                <w:color w:val="000000"/>
                <w:lang w:eastAsia="ru-RU"/>
              </w:rPr>
            </w:pPr>
            <w:r w:rsidRPr="00D6781F">
              <w:rPr>
                <w:rFonts w:ascii="Times New Roman" w:eastAsia="Times New Roman" w:hAnsi="Times New Roman" w:cs="Times New Roman"/>
                <w:b/>
                <w:bCs/>
                <w:color w:val="000000"/>
                <w:lang w:eastAsia="ru-RU"/>
              </w:rPr>
              <w:t>107 503</w:t>
            </w:r>
          </w:p>
        </w:tc>
        <w:tc>
          <w:tcPr>
            <w:tcW w:w="563" w:type="pct"/>
            <w:tcMar>
              <w:top w:w="75" w:type="dxa"/>
              <w:left w:w="75" w:type="dxa"/>
              <w:bottom w:w="75" w:type="dxa"/>
              <w:right w:w="75" w:type="dxa"/>
            </w:tcMar>
            <w:vAlign w:val="center"/>
            <w:hideMark/>
          </w:tcPr>
          <w:p w:rsidR="00D6781F" w:rsidRPr="00D6781F" w:rsidRDefault="00D6781F" w:rsidP="00D6781F">
            <w:pPr>
              <w:spacing w:after="0" w:line="240" w:lineRule="auto"/>
              <w:jc w:val="center"/>
              <w:rPr>
                <w:rFonts w:ascii="Times New Roman" w:eastAsia="Times New Roman" w:hAnsi="Times New Roman" w:cs="Times New Roman"/>
                <w:color w:val="000000"/>
                <w:lang w:eastAsia="ru-RU"/>
              </w:rPr>
            </w:pPr>
            <w:r w:rsidRPr="00D6781F">
              <w:rPr>
                <w:rFonts w:ascii="Times New Roman" w:eastAsia="Times New Roman" w:hAnsi="Times New Roman" w:cs="Times New Roman"/>
                <w:b/>
                <w:bCs/>
                <w:color w:val="000000"/>
                <w:lang w:eastAsia="ru-RU"/>
              </w:rPr>
              <w:t>42 909</w:t>
            </w:r>
          </w:p>
        </w:tc>
        <w:tc>
          <w:tcPr>
            <w:tcW w:w="832" w:type="pct"/>
            <w:tcMar>
              <w:top w:w="75" w:type="dxa"/>
              <w:left w:w="75" w:type="dxa"/>
              <w:bottom w:w="75" w:type="dxa"/>
              <w:right w:w="75" w:type="dxa"/>
            </w:tcMar>
            <w:vAlign w:val="center"/>
            <w:hideMark/>
          </w:tcPr>
          <w:p w:rsidR="00D6781F" w:rsidRPr="00D6781F" w:rsidRDefault="00D6781F" w:rsidP="00D6781F">
            <w:pPr>
              <w:spacing w:after="0" w:line="240" w:lineRule="auto"/>
              <w:jc w:val="center"/>
              <w:rPr>
                <w:rFonts w:ascii="Times New Roman" w:eastAsia="Times New Roman" w:hAnsi="Times New Roman" w:cs="Times New Roman"/>
                <w:color w:val="000000"/>
                <w:lang w:eastAsia="ru-RU"/>
              </w:rPr>
            </w:pPr>
            <w:r w:rsidRPr="00D6781F">
              <w:rPr>
                <w:rFonts w:ascii="Times New Roman" w:eastAsia="Times New Roman" w:hAnsi="Times New Roman" w:cs="Times New Roman"/>
                <w:b/>
                <w:bCs/>
                <w:color w:val="000000"/>
                <w:lang w:eastAsia="ru-RU"/>
              </w:rPr>
              <w:t>+64 594*</w:t>
            </w:r>
          </w:p>
        </w:tc>
      </w:tr>
    </w:tbl>
    <w:p w:rsidR="00D6781F" w:rsidRPr="00D6781F" w:rsidRDefault="00D6781F" w:rsidP="00D6781F">
      <w:pPr>
        <w:spacing w:after="0" w:line="240" w:lineRule="auto"/>
        <w:jc w:val="both"/>
        <w:rPr>
          <w:rFonts w:ascii="Times New Roman" w:eastAsia="Times New Roman" w:hAnsi="Times New Roman" w:cs="Times New Roman"/>
          <w:color w:val="000000"/>
          <w:lang w:eastAsia="ru-RU"/>
        </w:rPr>
      </w:pPr>
      <w:r w:rsidRPr="00D6781F">
        <w:rPr>
          <w:rFonts w:ascii="Times New Roman" w:eastAsia="Times New Roman" w:hAnsi="Times New Roman" w:cs="Times New Roman"/>
          <w:color w:val="000000"/>
          <w:lang w:eastAsia="ru-RU"/>
        </w:rPr>
        <w:t>* Экономия обусловлена переносом планируемых расходов, непроизведенных в период действия смет, в сметы следующего квартала, по причине несвоевременного предоставления контрагентами первичных документов, подтверждающих факт оказания услуг.</w:t>
      </w:r>
    </w:p>
    <w:p w:rsidR="00D6781F" w:rsidRPr="00D6781F" w:rsidRDefault="00D6781F" w:rsidP="00D6781F">
      <w:pPr>
        <w:spacing w:after="0" w:line="240" w:lineRule="auto"/>
        <w:jc w:val="both"/>
        <w:rPr>
          <w:rFonts w:ascii="Times New Roman" w:eastAsia="Times New Roman" w:hAnsi="Times New Roman" w:cs="Times New Roman"/>
          <w:color w:val="000000"/>
          <w:lang w:eastAsia="ru-RU"/>
        </w:rPr>
      </w:pPr>
      <w:r w:rsidRPr="00D6781F">
        <w:rPr>
          <w:rFonts w:ascii="Times New Roman" w:eastAsia="Times New Roman" w:hAnsi="Times New Roman" w:cs="Times New Roman"/>
          <w:color w:val="000000"/>
          <w:lang w:eastAsia="ru-RU"/>
        </w:rPr>
        <w:t>Примечание: сведения представляются нарастающим итогом с даты открытия конкурсного производства на отчетную дату.</w:t>
      </w:r>
    </w:p>
    <w:p w:rsidR="00D6781F" w:rsidRDefault="00D6781F" w:rsidP="00D6781F">
      <w:pPr>
        <w:spacing w:after="0" w:line="240" w:lineRule="auto"/>
        <w:jc w:val="center"/>
        <w:rPr>
          <w:rFonts w:ascii="Times New Roman" w:eastAsia="Times New Roman" w:hAnsi="Times New Roman" w:cs="Times New Roman"/>
          <w:b/>
          <w:bCs/>
          <w:color w:val="000000"/>
          <w:sz w:val="26"/>
          <w:szCs w:val="26"/>
          <w:lang w:eastAsia="ru-RU"/>
        </w:rPr>
      </w:pPr>
    </w:p>
    <w:p w:rsidR="00D6781F" w:rsidRPr="00D6781F" w:rsidRDefault="00D6781F" w:rsidP="00D6781F">
      <w:pPr>
        <w:spacing w:after="0" w:line="240" w:lineRule="auto"/>
        <w:jc w:val="center"/>
        <w:rPr>
          <w:rFonts w:ascii="Times New Roman" w:eastAsia="Times New Roman" w:hAnsi="Times New Roman" w:cs="Times New Roman"/>
          <w:color w:val="000000"/>
          <w:sz w:val="26"/>
          <w:szCs w:val="26"/>
          <w:lang w:eastAsia="ru-RU"/>
        </w:rPr>
      </w:pPr>
      <w:r w:rsidRPr="00D6781F">
        <w:rPr>
          <w:rFonts w:ascii="Times New Roman" w:eastAsia="Times New Roman" w:hAnsi="Times New Roman" w:cs="Times New Roman"/>
          <w:b/>
          <w:bCs/>
          <w:color w:val="000000"/>
          <w:sz w:val="26"/>
          <w:szCs w:val="26"/>
          <w:lang w:eastAsia="ru-RU"/>
        </w:rPr>
        <w:t>Сведения о стоимости нереализованного имущества</w:t>
      </w:r>
    </w:p>
    <w:p w:rsidR="00D6781F" w:rsidRPr="00D6781F" w:rsidRDefault="00D6781F" w:rsidP="00D6781F">
      <w:pPr>
        <w:spacing w:after="0" w:line="240" w:lineRule="auto"/>
        <w:jc w:val="center"/>
        <w:rPr>
          <w:rFonts w:ascii="Times New Roman" w:eastAsia="Times New Roman" w:hAnsi="Times New Roman" w:cs="Times New Roman"/>
          <w:color w:val="000000"/>
          <w:sz w:val="26"/>
          <w:szCs w:val="26"/>
          <w:lang w:eastAsia="ru-RU"/>
        </w:rPr>
      </w:pPr>
      <w:r w:rsidRPr="00D6781F">
        <w:rPr>
          <w:rFonts w:ascii="Times New Roman" w:eastAsia="Times New Roman" w:hAnsi="Times New Roman" w:cs="Times New Roman"/>
          <w:b/>
          <w:bCs/>
          <w:color w:val="000000"/>
          <w:sz w:val="26"/>
          <w:szCs w:val="26"/>
          <w:lang w:eastAsia="ru-RU"/>
        </w:rPr>
        <w:t>Банка «Уссури» (АО) по состоянию на 1 апреля 2019 г.</w:t>
      </w:r>
    </w:p>
    <w:p w:rsidR="00D6781F" w:rsidRPr="00D6781F" w:rsidRDefault="00D6781F" w:rsidP="00D6781F">
      <w:pPr>
        <w:spacing w:after="0" w:line="240" w:lineRule="auto"/>
        <w:jc w:val="right"/>
        <w:rPr>
          <w:rFonts w:ascii="Times New Roman" w:eastAsia="Times New Roman" w:hAnsi="Times New Roman" w:cs="Times New Roman"/>
          <w:color w:val="000000"/>
          <w:lang w:eastAsia="ru-RU"/>
        </w:rPr>
      </w:pPr>
      <w:r w:rsidRPr="00D6781F">
        <w:rPr>
          <w:rFonts w:ascii="Times New Roman" w:eastAsia="Times New Roman" w:hAnsi="Times New Roman" w:cs="Times New Roman"/>
          <w:color w:val="000000"/>
          <w:lang w:eastAsia="ru-RU"/>
        </w:rPr>
        <w:t>(тыс. руб.)</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786"/>
        <w:gridCol w:w="4020"/>
        <w:gridCol w:w="2301"/>
        <w:gridCol w:w="2508"/>
      </w:tblGrid>
      <w:tr w:rsidR="00D6781F" w:rsidRPr="00D6781F" w:rsidTr="00D6781F">
        <w:trPr>
          <w:tblCellSpacing w:w="20" w:type="dxa"/>
        </w:trPr>
        <w:tc>
          <w:tcPr>
            <w:tcW w:w="0" w:type="auto"/>
            <w:tcMar>
              <w:top w:w="75" w:type="dxa"/>
              <w:left w:w="75" w:type="dxa"/>
              <w:bottom w:w="75" w:type="dxa"/>
              <w:right w:w="75" w:type="dxa"/>
            </w:tcMar>
            <w:vAlign w:val="center"/>
            <w:hideMark/>
          </w:tcPr>
          <w:p w:rsidR="00D6781F" w:rsidRPr="00D6781F" w:rsidRDefault="00D6781F" w:rsidP="00D6781F">
            <w:pPr>
              <w:spacing w:after="0" w:line="240" w:lineRule="auto"/>
              <w:jc w:val="center"/>
              <w:rPr>
                <w:rFonts w:ascii="Times New Roman" w:eastAsia="Times New Roman" w:hAnsi="Times New Roman" w:cs="Times New Roman"/>
                <w:color w:val="000000"/>
                <w:lang w:eastAsia="ru-RU"/>
              </w:rPr>
            </w:pPr>
            <w:r w:rsidRPr="00D6781F">
              <w:rPr>
                <w:rFonts w:ascii="Times New Roman" w:eastAsia="Times New Roman" w:hAnsi="Times New Roman" w:cs="Times New Roman"/>
                <w:b/>
                <w:bCs/>
                <w:color w:val="000000"/>
                <w:lang w:eastAsia="ru-RU"/>
              </w:rPr>
              <w:t>№ п/п</w:t>
            </w:r>
          </w:p>
        </w:tc>
        <w:tc>
          <w:tcPr>
            <w:tcW w:w="0" w:type="auto"/>
            <w:tcMar>
              <w:top w:w="75" w:type="dxa"/>
              <w:left w:w="75" w:type="dxa"/>
              <w:bottom w:w="75" w:type="dxa"/>
              <w:right w:w="75" w:type="dxa"/>
            </w:tcMar>
            <w:vAlign w:val="center"/>
            <w:hideMark/>
          </w:tcPr>
          <w:p w:rsidR="00D6781F" w:rsidRPr="00D6781F" w:rsidRDefault="00D6781F" w:rsidP="00D6781F">
            <w:pPr>
              <w:spacing w:after="0" w:line="240" w:lineRule="auto"/>
              <w:jc w:val="center"/>
              <w:rPr>
                <w:rFonts w:ascii="Times New Roman" w:eastAsia="Times New Roman" w:hAnsi="Times New Roman" w:cs="Times New Roman"/>
                <w:color w:val="000000"/>
                <w:lang w:eastAsia="ru-RU"/>
              </w:rPr>
            </w:pPr>
            <w:r w:rsidRPr="00D6781F">
              <w:rPr>
                <w:rFonts w:ascii="Times New Roman" w:eastAsia="Times New Roman" w:hAnsi="Times New Roman" w:cs="Times New Roman"/>
                <w:b/>
                <w:bCs/>
                <w:color w:val="000000"/>
                <w:lang w:eastAsia="ru-RU"/>
              </w:rPr>
              <w:t>Наименование имущества (дебитора)</w:t>
            </w:r>
          </w:p>
        </w:tc>
        <w:tc>
          <w:tcPr>
            <w:tcW w:w="0" w:type="auto"/>
            <w:tcMar>
              <w:top w:w="75" w:type="dxa"/>
              <w:left w:w="75" w:type="dxa"/>
              <w:bottom w:w="75" w:type="dxa"/>
              <w:right w:w="75" w:type="dxa"/>
            </w:tcMar>
            <w:vAlign w:val="center"/>
            <w:hideMark/>
          </w:tcPr>
          <w:p w:rsidR="00D6781F" w:rsidRPr="00D6781F" w:rsidRDefault="00D6781F" w:rsidP="00D6781F">
            <w:pPr>
              <w:spacing w:after="0" w:line="240" w:lineRule="auto"/>
              <w:jc w:val="center"/>
              <w:rPr>
                <w:rFonts w:ascii="Times New Roman" w:eastAsia="Times New Roman" w:hAnsi="Times New Roman" w:cs="Times New Roman"/>
                <w:color w:val="000000"/>
                <w:lang w:eastAsia="ru-RU"/>
              </w:rPr>
            </w:pPr>
            <w:r w:rsidRPr="00D6781F">
              <w:rPr>
                <w:rFonts w:ascii="Times New Roman" w:eastAsia="Times New Roman" w:hAnsi="Times New Roman" w:cs="Times New Roman"/>
                <w:b/>
                <w:bCs/>
                <w:color w:val="000000"/>
                <w:lang w:eastAsia="ru-RU"/>
              </w:rPr>
              <w:t>Балансовая стоимость</w:t>
            </w:r>
          </w:p>
        </w:tc>
        <w:tc>
          <w:tcPr>
            <w:tcW w:w="0" w:type="auto"/>
            <w:tcMar>
              <w:top w:w="75" w:type="dxa"/>
              <w:left w:w="75" w:type="dxa"/>
              <w:bottom w:w="75" w:type="dxa"/>
              <w:right w:w="75" w:type="dxa"/>
            </w:tcMar>
            <w:vAlign w:val="center"/>
            <w:hideMark/>
          </w:tcPr>
          <w:p w:rsidR="00D6781F" w:rsidRPr="00D6781F" w:rsidRDefault="00D6781F" w:rsidP="00D6781F">
            <w:pPr>
              <w:spacing w:after="0" w:line="240" w:lineRule="auto"/>
              <w:jc w:val="center"/>
              <w:rPr>
                <w:rFonts w:ascii="Times New Roman" w:eastAsia="Times New Roman" w:hAnsi="Times New Roman" w:cs="Times New Roman"/>
                <w:color w:val="000000"/>
                <w:lang w:eastAsia="ru-RU"/>
              </w:rPr>
            </w:pPr>
            <w:r w:rsidRPr="00D6781F">
              <w:rPr>
                <w:rFonts w:ascii="Times New Roman" w:eastAsia="Times New Roman" w:hAnsi="Times New Roman" w:cs="Times New Roman"/>
                <w:b/>
                <w:bCs/>
                <w:color w:val="000000"/>
                <w:lang w:eastAsia="ru-RU"/>
              </w:rPr>
              <w:t>Оценочная стоимость</w:t>
            </w:r>
          </w:p>
        </w:tc>
      </w:tr>
      <w:tr w:rsidR="00D6781F" w:rsidRPr="00D6781F" w:rsidTr="00D6781F">
        <w:trPr>
          <w:tblCellSpacing w:w="20" w:type="dxa"/>
        </w:trPr>
        <w:tc>
          <w:tcPr>
            <w:tcW w:w="0" w:type="auto"/>
            <w:tcMar>
              <w:top w:w="75" w:type="dxa"/>
              <w:left w:w="75" w:type="dxa"/>
              <w:bottom w:w="75" w:type="dxa"/>
              <w:right w:w="75" w:type="dxa"/>
            </w:tcMar>
            <w:vAlign w:val="center"/>
            <w:hideMark/>
          </w:tcPr>
          <w:p w:rsidR="00D6781F" w:rsidRPr="00D6781F" w:rsidRDefault="00D6781F" w:rsidP="00D6781F">
            <w:pPr>
              <w:spacing w:after="0" w:line="240" w:lineRule="auto"/>
              <w:jc w:val="center"/>
              <w:rPr>
                <w:rFonts w:ascii="Times New Roman" w:eastAsia="Times New Roman" w:hAnsi="Times New Roman" w:cs="Times New Roman"/>
                <w:color w:val="000000"/>
                <w:lang w:eastAsia="ru-RU"/>
              </w:rPr>
            </w:pPr>
            <w:r w:rsidRPr="00D6781F">
              <w:rPr>
                <w:rFonts w:ascii="Times New Roman" w:eastAsia="Times New Roman" w:hAnsi="Times New Roman" w:cs="Times New Roman"/>
                <w:color w:val="000000"/>
                <w:lang w:eastAsia="ru-RU"/>
              </w:rPr>
              <w:t>1</w:t>
            </w:r>
          </w:p>
        </w:tc>
        <w:tc>
          <w:tcPr>
            <w:tcW w:w="0" w:type="auto"/>
            <w:tcMar>
              <w:top w:w="75" w:type="dxa"/>
              <w:left w:w="75" w:type="dxa"/>
              <w:bottom w:w="75" w:type="dxa"/>
              <w:right w:w="75" w:type="dxa"/>
            </w:tcMar>
            <w:vAlign w:val="center"/>
            <w:hideMark/>
          </w:tcPr>
          <w:p w:rsidR="00D6781F" w:rsidRPr="00D6781F" w:rsidRDefault="00D6781F" w:rsidP="00D6781F">
            <w:pPr>
              <w:spacing w:after="0" w:line="240" w:lineRule="auto"/>
              <w:rPr>
                <w:rFonts w:ascii="Times New Roman" w:eastAsia="Times New Roman" w:hAnsi="Times New Roman" w:cs="Times New Roman"/>
                <w:color w:val="000000"/>
                <w:lang w:eastAsia="ru-RU"/>
              </w:rPr>
            </w:pPr>
            <w:r w:rsidRPr="00D6781F">
              <w:rPr>
                <w:rFonts w:ascii="Times New Roman" w:eastAsia="Times New Roman" w:hAnsi="Times New Roman" w:cs="Times New Roman"/>
                <w:color w:val="000000"/>
                <w:lang w:eastAsia="ru-RU"/>
              </w:rPr>
              <w:t>Кредиты предприятиям и организациям</w:t>
            </w:r>
          </w:p>
        </w:tc>
        <w:tc>
          <w:tcPr>
            <w:tcW w:w="0" w:type="auto"/>
            <w:tcMar>
              <w:top w:w="75" w:type="dxa"/>
              <w:left w:w="75" w:type="dxa"/>
              <w:bottom w:w="75" w:type="dxa"/>
              <w:right w:w="75" w:type="dxa"/>
            </w:tcMar>
            <w:vAlign w:val="center"/>
            <w:hideMark/>
          </w:tcPr>
          <w:p w:rsidR="00D6781F" w:rsidRPr="00D6781F" w:rsidRDefault="00D6781F" w:rsidP="00D6781F">
            <w:pPr>
              <w:spacing w:after="0" w:line="240" w:lineRule="auto"/>
              <w:jc w:val="center"/>
              <w:rPr>
                <w:rFonts w:ascii="Times New Roman" w:eastAsia="Times New Roman" w:hAnsi="Times New Roman" w:cs="Times New Roman"/>
                <w:color w:val="000000"/>
                <w:lang w:eastAsia="ru-RU"/>
              </w:rPr>
            </w:pPr>
            <w:r w:rsidRPr="00D6781F">
              <w:rPr>
                <w:rFonts w:ascii="Times New Roman" w:eastAsia="Times New Roman" w:hAnsi="Times New Roman" w:cs="Times New Roman"/>
                <w:color w:val="000000"/>
                <w:lang w:eastAsia="ru-RU"/>
              </w:rPr>
              <w:t>2 040 175</w:t>
            </w:r>
          </w:p>
        </w:tc>
        <w:tc>
          <w:tcPr>
            <w:tcW w:w="0" w:type="auto"/>
            <w:vMerge w:val="restart"/>
            <w:tcMar>
              <w:top w:w="75" w:type="dxa"/>
              <w:left w:w="75" w:type="dxa"/>
              <w:bottom w:w="75" w:type="dxa"/>
              <w:right w:w="75" w:type="dxa"/>
            </w:tcMar>
            <w:vAlign w:val="center"/>
            <w:hideMark/>
          </w:tcPr>
          <w:p w:rsidR="00D6781F" w:rsidRPr="00D6781F" w:rsidRDefault="00D6781F" w:rsidP="00D6781F">
            <w:pPr>
              <w:spacing w:after="0" w:line="240" w:lineRule="auto"/>
              <w:jc w:val="center"/>
              <w:rPr>
                <w:rFonts w:ascii="Times New Roman" w:eastAsia="Times New Roman" w:hAnsi="Times New Roman" w:cs="Times New Roman"/>
                <w:color w:val="000000"/>
                <w:lang w:eastAsia="ru-RU"/>
              </w:rPr>
            </w:pPr>
            <w:r w:rsidRPr="00D6781F">
              <w:rPr>
                <w:rFonts w:ascii="Times New Roman" w:eastAsia="Times New Roman" w:hAnsi="Times New Roman" w:cs="Times New Roman"/>
                <w:color w:val="000000"/>
                <w:lang w:eastAsia="ru-RU"/>
              </w:rPr>
              <w:t>Оценка не проводилась**</w:t>
            </w:r>
          </w:p>
        </w:tc>
      </w:tr>
      <w:tr w:rsidR="00D6781F" w:rsidRPr="00D6781F" w:rsidTr="00D6781F">
        <w:trPr>
          <w:tblCellSpacing w:w="20" w:type="dxa"/>
        </w:trPr>
        <w:tc>
          <w:tcPr>
            <w:tcW w:w="0" w:type="auto"/>
            <w:tcMar>
              <w:top w:w="75" w:type="dxa"/>
              <w:left w:w="75" w:type="dxa"/>
              <w:bottom w:w="75" w:type="dxa"/>
              <w:right w:w="75" w:type="dxa"/>
            </w:tcMar>
            <w:vAlign w:val="center"/>
            <w:hideMark/>
          </w:tcPr>
          <w:p w:rsidR="00D6781F" w:rsidRPr="00D6781F" w:rsidRDefault="00D6781F" w:rsidP="00D6781F">
            <w:pPr>
              <w:spacing w:after="0" w:line="240" w:lineRule="auto"/>
              <w:jc w:val="center"/>
              <w:rPr>
                <w:rFonts w:ascii="Times New Roman" w:eastAsia="Times New Roman" w:hAnsi="Times New Roman" w:cs="Times New Roman"/>
                <w:color w:val="000000"/>
                <w:lang w:eastAsia="ru-RU"/>
              </w:rPr>
            </w:pPr>
            <w:r w:rsidRPr="00D6781F">
              <w:rPr>
                <w:rFonts w:ascii="Times New Roman" w:eastAsia="Times New Roman" w:hAnsi="Times New Roman" w:cs="Times New Roman"/>
                <w:color w:val="000000"/>
                <w:lang w:eastAsia="ru-RU"/>
              </w:rPr>
              <w:t>2</w:t>
            </w:r>
          </w:p>
        </w:tc>
        <w:tc>
          <w:tcPr>
            <w:tcW w:w="0" w:type="auto"/>
            <w:tcMar>
              <w:top w:w="75" w:type="dxa"/>
              <w:left w:w="75" w:type="dxa"/>
              <w:bottom w:w="75" w:type="dxa"/>
              <w:right w:w="75" w:type="dxa"/>
            </w:tcMar>
            <w:vAlign w:val="center"/>
            <w:hideMark/>
          </w:tcPr>
          <w:p w:rsidR="00D6781F" w:rsidRPr="00D6781F" w:rsidRDefault="00D6781F" w:rsidP="00D6781F">
            <w:pPr>
              <w:spacing w:after="0" w:line="240" w:lineRule="auto"/>
              <w:rPr>
                <w:rFonts w:ascii="Times New Roman" w:eastAsia="Times New Roman" w:hAnsi="Times New Roman" w:cs="Times New Roman"/>
                <w:color w:val="000000"/>
                <w:lang w:eastAsia="ru-RU"/>
              </w:rPr>
            </w:pPr>
            <w:r w:rsidRPr="00D6781F">
              <w:rPr>
                <w:rFonts w:ascii="Times New Roman" w:eastAsia="Times New Roman" w:hAnsi="Times New Roman" w:cs="Times New Roman"/>
                <w:color w:val="000000"/>
                <w:lang w:eastAsia="ru-RU"/>
              </w:rPr>
              <w:t>Кредиты физическим лицам</w:t>
            </w:r>
          </w:p>
        </w:tc>
        <w:tc>
          <w:tcPr>
            <w:tcW w:w="0" w:type="auto"/>
            <w:tcMar>
              <w:top w:w="75" w:type="dxa"/>
              <w:left w:w="75" w:type="dxa"/>
              <w:bottom w:w="75" w:type="dxa"/>
              <w:right w:w="75" w:type="dxa"/>
            </w:tcMar>
            <w:vAlign w:val="center"/>
            <w:hideMark/>
          </w:tcPr>
          <w:p w:rsidR="00D6781F" w:rsidRPr="00D6781F" w:rsidRDefault="00D6781F" w:rsidP="00D6781F">
            <w:pPr>
              <w:spacing w:after="0" w:line="240" w:lineRule="auto"/>
              <w:jc w:val="center"/>
              <w:rPr>
                <w:rFonts w:ascii="Times New Roman" w:eastAsia="Times New Roman" w:hAnsi="Times New Roman" w:cs="Times New Roman"/>
                <w:color w:val="000000"/>
                <w:lang w:eastAsia="ru-RU"/>
              </w:rPr>
            </w:pPr>
            <w:r w:rsidRPr="00D6781F">
              <w:rPr>
                <w:rFonts w:ascii="Times New Roman" w:eastAsia="Times New Roman" w:hAnsi="Times New Roman" w:cs="Times New Roman"/>
                <w:color w:val="000000"/>
                <w:lang w:eastAsia="ru-RU"/>
              </w:rPr>
              <w:t>610 782</w:t>
            </w:r>
          </w:p>
        </w:tc>
        <w:tc>
          <w:tcPr>
            <w:tcW w:w="0" w:type="auto"/>
            <w:vMerge/>
            <w:vAlign w:val="center"/>
            <w:hideMark/>
          </w:tcPr>
          <w:p w:rsidR="00D6781F" w:rsidRPr="00D6781F" w:rsidRDefault="00D6781F" w:rsidP="00D6781F">
            <w:pPr>
              <w:spacing w:after="0" w:line="240" w:lineRule="auto"/>
              <w:jc w:val="center"/>
              <w:rPr>
                <w:rFonts w:ascii="Times New Roman" w:eastAsia="Times New Roman" w:hAnsi="Times New Roman" w:cs="Times New Roman"/>
                <w:color w:val="000000"/>
                <w:lang w:eastAsia="ru-RU"/>
              </w:rPr>
            </w:pPr>
          </w:p>
        </w:tc>
      </w:tr>
      <w:tr w:rsidR="00D6781F" w:rsidRPr="00D6781F" w:rsidTr="00D6781F">
        <w:trPr>
          <w:tblCellSpacing w:w="20" w:type="dxa"/>
        </w:trPr>
        <w:tc>
          <w:tcPr>
            <w:tcW w:w="0" w:type="auto"/>
            <w:tcMar>
              <w:top w:w="75" w:type="dxa"/>
              <w:left w:w="75" w:type="dxa"/>
              <w:bottom w:w="75" w:type="dxa"/>
              <w:right w:w="75" w:type="dxa"/>
            </w:tcMar>
            <w:vAlign w:val="center"/>
            <w:hideMark/>
          </w:tcPr>
          <w:p w:rsidR="00D6781F" w:rsidRPr="00D6781F" w:rsidRDefault="00D6781F" w:rsidP="00D6781F">
            <w:pPr>
              <w:spacing w:after="0" w:line="240" w:lineRule="auto"/>
              <w:jc w:val="center"/>
              <w:rPr>
                <w:rFonts w:ascii="Times New Roman" w:eastAsia="Times New Roman" w:hAnsi="Times New Roman" w:cs="Times New Roman"/>
                <w:color w:val="000000"/>
                <w:lang w:eastAsia="ru-RU"/>
              </w:rPr>
            </w:pPr>
            <w:r w:rsidRPr="00D6781F">
              <w:rPr>
                <w:rFonts w:ascii="Times New Roman" w:eastAsia="Times New Roman" w:hAnsi="Times New Roman" w:cs="Times New Roman"/>
                <w:color w:val="000000"/>
                <w:lang w:eastAsia="ru-RU"/>
              </w:rPr>
              <w:t>3</w:t>
            </w:r>
          </w:p>
        </w:tc>
        <w:tc>
          <w:tcPr>
            <w:tcW w:w="0" w:type="auto"/>
            <w:tcMar>
              <w:top w:w="75" w:type="dxa"/>
              <w:left w:w="75" w:type="dxa"/>
              <w:bottom w:w="75" w:type="dxa"/>
              <w:right w:w="75" w:type="dxa"/>
            </w:tcMar>
            <w:vAlign w:val="center"/>
            <w:hideMark/>
          </w:tcPr>
          <w:p w:rsidR="00D6781F" w:rsidRPr="00D6781F" w:rsidRDefault="00D6781F" w:rsidP="00D6781F">
            <w:pPr>
              <w:spacing w:after="0" w:line="240" w:lineRule="auto"/>
              <w:rPr>
                <w:rFonts w:ascii="Times New Roman" w:eastAsia="Times New Roman" w:hAnsi="Times New Roman" w:cs="Times New Roman"/>
                <w:color w:val="000000"/>
                <w:lang w:eastAsia="ru-RU"/>
              </w:rPr>
            </w:pPr>
            <w:r w:rsidRPr="00D6781F">
              <w:rPr>
                <w:rFonts w:ascii="Times New Roman" w:eastAsia="Times New Roman" w:hAnsi="Times New Roman" w:cs="Times New Roman"/>
                <w:color w:val="000000"/>
                <w:lang w:eastAsia="ru-RU"/>
              </w:rPr>
              <w:t>Ценные бумаги</w:t>
            </w:r>
          </w:p>
        </w:tc>
        <w:tc>
          <w:tcPr>
            <w:tcW w:w="0" w:type="auto"/>
            <w:tcMar>
              <w:top w:w="75" w:type="dxa"/>
              <w:left w:w="75" w:type="dxa"/>
              <w:bottom w:w="75" w:type="dxa"/>
              <w:right w:w="75" w:type="dxa"/>
            </w:tcMar>
            <w:vAlign w:val="center"/>
            <w:hideMark/>
          </w:tcPr>
          <w:p w:rsidR="00D6781F" w:rsidRPr="00D6781F" w:rsidRDefault="00D6781F" w:rsidP="00D6781F">
            <w:pPr>
              <w:spacing w:after="0" w:line="240" w:lineRule="auto"/>
              <w:jc w:val="center"/>
              <w:rPr>
                <w:rFonts w:ascii="Times New Roman" w:eastAsia="Times New Roman" w:hAnsi="Times New Roman" w:cs="Times New Roman"/>
                <w:color w:val="000000"/>
                <w:lang w:eastAsia="ru-RU"/>
              </w:rPr>
            </w:pPr>
            <w:r w:rsidRPr="00D6781F">
              <w:rPr>
                <w:rFonts w:ascii="Times New Roman" w:eastAsia="Times New Roman" w:hAnsi="Times New Roman" w:cs="Times New Roman"/>
                <w:color w:val="000000"/>
                <w:lang w:eastAsia="ru-RU"/>
              </w:rPr>
              <w:t>22 572</w:t>
            </w:r>
          </w:p>
        </w:tc>
        <w:tc>
          <w:tcPr>
            <w:tcW w:w="0" w:type="auto"/>
            <w:tcMar>
              <w:top w:w="75" w:type="dxa"/>
              <w:left w:w="75" w:type="dxa"/>
              <w:bottom w:w="75" w:type="dxa"/>
              <w:right w:w="75" w:type="dxa"/>
            </w:tcMar>
            <w:vAlign w:val="center"/>
            <w:hideMark/>
          </w:tcPr>
          <w:p w:rsidR="00D6781F" w:rsidRPr="00D6781F" w:rsidRDefault="00D6781F" w:rsidP="00D6781F">
            <w:pPr>
              <w:spacing w:after="0" w:line="240" w:lineRule="auto"/>
              <w:jc w:val="center"/>
              <w:rPr>
                <w:rFonts w:ascii="Times New Roman" w:eastAsia="Times New Roman" w:hAnsi="Times New Roman" w:cs="Times New Roman"/>
                <w:color w:val="000000"/>
                <w:lang w:eastAsia="ru-RU"/>
              </w:rPr>
            </w:pPr>
            <w:r w:rsidRPr="00D6781F">
              <w:rPr>
                <w:rFonts w:ascii="Times New Roman" w:eastAsia="Times New Roman" w:hAnsi="Times New Roman" w:cs="Times New Roman"/>
                <w:color w:val="000000"/>
                <w:lang w:eastAsia="ru-RU"/>
              </w:rPr>
              <w:t>Оценка не проводилась**</w:t>
            </w:r>
          </w:p>
        </w:tc>
      </w:tr>
      <w:tr w:rsidR="00D6781F" w:rsidRPr="00D6781F" w:rsidTr="00D6781F">
        <w:trPr>
          <w:tblCellSpacing w:w="20" w:type="dxa"/>
        </w:trPr>
        <w:tc>
          <w:tcPr>
            <w:tcW w:w="0" w:type="auto"/>
            <w:tcMar>
              <w:top w:w="75" w:type="dxa"/>
              <w:left w:w="75" w:type="dxa"/>
              <w:bottom w:w="75" w:type="dxa"/>
              <w:right w:w="75" w:type="dxa"/>
            </w:tcMar>
            <w:vAlign w:val="center"/>
            <w:hideMark/>
          </w:tcPr>
          <w:p w:rsidR="00D6781F" w:rsidRPr="00D6781F" w:rsidRDefault="00D6781F" w:rsidP="00D6781F">
            <w:pPr>
              <w:spacing w:after="0" w:line="240" w:lineRule="auto"/>
              <w:jc w:val="center"/>
              <w:rPr>
                <w:rFonts w:ascii="Times New Roman" w:eastAsia="Times New Roman" w:hAnsi="Times New Roman" w:cs="Times New Roman"/>
                <w:color w:val="000000"/>
                <w:lang w:eastAsia="ru-RU"/>
              </w:rPr>
            </w:pPr>
            <w:r w:rsidRPr="00D6781F">
              <w:rPr>
                <w:rFonts w:ascii="Times New Roman" w:eastAsia="Times New Roman" w:hAnsi="Times New Roman" w:cs="Times New Roman"/>
                <w:color w:val="000000"/>
                <w:lang w:eastAsia="ru-RU"/>
              </w:rPr>
              <w:t>4</w:t>
            </w:r>
          </w:p>
        </w:tc>
        <w:tc>
          <w:tcPr>
            <w:tcW w:w="0" w:type="auto"/>
            <w:tcMar>
              <w:top w:w="75" w:type="dxa"/>
              <w:left w:w="75" w:type="dxa"/>
              <w:bottom w:w="75" w:type="dxa"/>
              <w:right w:w="75" w:type="dxa"/>
            </w:tcMar>
            <w:vAlign w:val="center"/>
            <w:hideMark/>
          </w:tcPr>
          <w:p w:rsidR="00D6781F" w:rsidRPr="00D6781F" w:rsidRDefault="00D6781F" w:rsidP="00D6781F">
            <w:pPr>
              <w:spacing w:after="0" w:line="240" w:lineRule="auto"/>
              <w:rPr>
                <w:rFonts w:ascii="Times New Roman" w:eastAsia="Times New Roman" w:hAnsi="Times New Roman" w:cs="Times New Roman"/>
                <w:color w:val="000000"/>
                <w:lang w:eastAsia="ru-RU"/>
              </w:rPr>
            </w:pPr>
            <w:r w:rsidRPr="00D6781F">
              <w:rPr>
                <w:rFonts w:ascii="Times New Roman" w:eastAsia="Times New Roman" w:hAnsi="Times New Roman" w:cs="Times New Roman"/>
                <w:color w:val="000000"/>
                <w:lang w:eastAsia="ru-RU"/>
              </w:rPr>
              <w:t>Основные средства и хозяйственные затраты</w:t>
            </w:r>
          </w:p>
        </w:tc>
        <w:tc>
          <w:tcPr>
            <w:tcW w:w="0" w:type="auto"/>
            <w:tcMar>
              <w:top w:w="75" w:type="dxa"/>
              <w:left w:w="75" w:type="dxa"/>
              <w:bottom w:w="75" w:type="dxa"/>
              <w:right w:w="75" w:type="dxa"/>
            </w:tcMar>
            <w:vAlign w:val="center"/>
            <w:hideMark/>
          </w:tcPr>
          <w:p w:rsidR="00D6781F" w:rsidRPr="00D6781F" w:rsidRDefault="00D6781F" w:rsidP="00D6781F">
            <w:pPr>
              <w:spacing w:after="0" w:line="240" w:lineRule="auto"/>
              <w:jc w:val="center"/>
              <w:rPr>
                <w:rFonts w:ascii="Times New Roman" w:eastAsia="Times New Roman" w:hAnsi="Times New Roman" w:cs="Times New Roman"/>
                <w:color w:val="000000"/>
                <w:lang w:eastAsia="ru-RU"/>
              </w:rPr>
            </w:pPr>
            <w:r w:rsidRPr="00D6781F">
              <w:rPr>
                <w:rFonts w:ascii="Times New Roman" w:eastAsia="Times New Roman" w:hAnsi="Times New Roman" w:cs="Times New Roman"/>
                <w:color w:val="000000"/>
                <w:lang w:eastAsia="ru-RU"/>
              </w:rPr>
              <w:t>229 557</w:t>
            </w:r>
          </w:p>
        </w:tc>
        <w:tc>
          <w:tcPr>
            <w:tcW w:w="0" w:type="auto"/>
            <w:tcMar>
              <w:top w:w="75" w:type="dxa"/>
              <w:left w:w="75" w:type="dxa"/>
              <w:bottom w:w="75" w:type="dxa"/>
              <w:right w:w="75" w:type="dxa"/>
            </w:tcMar>
            <w:vAlign w:val="center"/>
            <w:hideMark/>
          </w:tcPr>
          <w:p w:rsidR="00D6781F" w:rsidRPr="00D6781F" w:rsidRDefault="00D6781F" w:rsidP="00D6781F">
            <w:pPr>
              <w:spacing w:after="0" w:line="240" w:lineRule="auto"/>
              <w:jc w:val="center"/>
              <w:rPr>
                <w:rFonts w:ascii="Times New Roman" w:eastAsia="Times New Roman" w:hAnsi="Times New Roman" w:cs="Times New Roman"/>
                <w:color w:val="000000"/>
                <w:lang w:eastAsia="ru-RU"/>
              </w:rPr>
            </w:pPr>
            <w:r w:rsidRPr="00D6781F">
              <w:rPr>
                <w:rFonts w:ascii="Times New Roman" w:eastAsia="Times New Roman" w:hAnsi="Times New Roman" w:cs="Times New Roman"/>
                <w:color w:val="000000"/>
                <w:lang w:eastAsia="ru-RU"/>
              </w:rPr>
              <w:t>146 041</w:t>
            </w:r>
          </w:p>
        </w:tc>
      </w:tr>
      <w:tr w:rsidR="00D6781F" w:rsidRPr="00D6781F" w:rsidTr="00D6781F">
        <w:trPr>
          <w:tblCellSpacing w:w="20" w:type="dxa"/>
        </w:trPr>
        <w:tc>
          <w:tcPr>
            <w:tcW w:w="0" w:type="auto"/>
            <w:tcMar>
              <w:top w:w="75" w:type="dxa"/>
              <w:left w:w="75" w:type="dxa"/>
              <w:bottom w:w="75" w:type="dxa"/>
              <w:right w:w="75" w:type="dxa"/>
            </w:tcMar>
            <w:vAlign w:val="center"/>
            <w:hideMark/>
          </w:tcPr>
          <w:p w:rsidR="00D6781F" w:rsidRPr="00D6781F" w:rsidRDefault="00D6781F" w:rsidP="00D6781F">
            <w:pPr>
              <w:spacing w:after="0" w:line="240" w:lineRule="auto"/>
              <w:jc w:val="center"/>
              <w:rPr>
                <w:rFonts w:ascii="Times New Roman" w:eastAsia="Times New Roman" w:hAnsi="Times New Roman" w:cs="Times New Roman"/>
                <w:color w:val="000000"/>
                <w:lang w:eastAsia="ru-RU"/>
              </w:rPr>
            </w:pPr>
            <w:r w:rsidRPr="00D6781F">
              <w:rPr>
                <w:rFonts w:ascii="Times New Roman" w:eastAsia="Times New Roman" w:hAnsi="Times New Roman" w:cs="Times New Roman"/>
                <w:color w:val="000000"/>
                <w:lang w:eastAsia="ru-RU"/>
              </w:rPr>
              <w:t>5</w:t>
            </w:r>
          </w:p>
        </w:tc>
        <w:tc>
          <w:tcPr>
            <w:tcW w:w="0" w:type="auto"/>
            <w:tcMar>
              <w:top w:w="75" w:type="dxa"/>
              <w:left w:w="75" w:type="dxa"/>
              <w:bottom w:w="75" w:type="dxa"/>
              <w:right w:w="75" w:type="dxa"/>
            </w:tcMar>
            <w:vAlign w:val="center"/>
            <w:hideMark/>
          </w:tcPr>
          <w:p w:rsidR="00D6781F" w:rsidRPr="00D6781F" w:rsidRDefault="00D6781F" w:rsidP="00D6781F">
            <w:pPr>
              <w:spacing w:after="0" w:line="240" w:lineRule="auto"/>
              <w:rPr>
                <w:rFonts w:ascii="Times New Roman" w:eastAsia="Times New Roman" w:hAnsi="Times New Roman" w:cs="Times New Roman"/>
                <w:color w:val="000000"/>
                <w:lang w:eastAsia="ru-RU"/>
              </w:rPr>
            </w:pPr>
            <w:r w:rsidRPr="00D6781F">
              <w:rPr>
                <w:rFonts w:ascii="Times New Roman" w:eastAsia="Times New Roman" w:hAnsi="Times New Roman" w:cs="Times New Roman"/>
                <w:color w:val="000000"/>
                <w:lang w:eastAsia="ru-RU"/>
              </w:rPr>
              <w:t>Прочие активы</w:t>
            </w:r>
          </w:p>
        </w:tc>
        <w:tc>
          <w:tcPr>
            <w:tcW w:w="0" w:type="auto"/>
            <w:tcMar>
              <w:top w:w="75" w:type="dxa"/>
              <w:left w:w="75" w:type="dxa"/>
              <w:bottom w:w="75" w:type="dxa"/>
              <w:right w:w="75" w:type="dxa"/>
            </w:tcMar>
            <w:vAlign w:val="center"/>
            <w:hideMark/>
          </w:tcPr>
          <w:p w:rsidR="00D6781F" w:rsidRPr="00D6781F" w:rsidRDefault="00D6781F" w:rsidP="00D6781F">
            <w:pPr>
              <w:spacing w:after="0" w:line="240" w:lineRule="auto"/>
              <w:jc w:val="center"/>
              <w:rPr>
                <w:rFonts w:ascii="Times New Roman" w:eastAsia="Times New Roman" w:hAnsi="Times New Roman" w:cs="Times New Roman"/>
                <w:color w:val="000000"/>
                <w:lang w:eastAsia="ru-RU"/>
              </w:rPr>
            </w:pPr>
            <w:r w:rsidRPr="00D6781F">
              <w:rPr>
                <w:rFonts w:ascii="Times New Roman" w:eastAsia="Times New Roman" w:hAnsi="Times New Roman" w:cs="Times New Roman"/>
                <w:color w:val="000000"/>
                <w:lang w:eastAsia="ru-RU"/>
              </w:rPr>
              <w:t>52 982</w:t>
            </w:r>
          </w:p>
        </w:tc>
        <w:tc>
          <w:tcPr>
            <w:tcW w:w="0" w:type="auto"/>
            <w:tcMar>
              <w:top w:w="75" w:type="dxa"/>
              <w:left w:w="75" w:type="dxa"/>
              <w:bottom w:w="75" w:type="dxa"/>
              <w:right w:w="75" w:type="dxa"/>
            </w:tcMar>
            <w:vAlign w:val="center"/>
            <w:hideMark/>
          </w:tcPr>
          <w:p w:rsidR="00D6781F" w:rsidRPr="00D6781F" w:rsidRDefault="00D6781F" w:rsidP="00D6781F">
            <w:pPr>
              <w:spacing w:after="0" w:line="240" w:lineRule="auto"/>
              <w:jc w:val="center"/>
              <w:rPr>
                <w:rFonts w:ascii="Times New Roman" w:eastAsia="Times New Roman" w:hAnsi="Times New Roman" w:cs="Times New Roman"/>
                <w:color w:val="000000"/>
                <w:lang w:eastAsia="ru-RU"/>
              </w:rPr>
            </w:pPr>
            <w:r w:rsidRPr="00D6781F">
              <w:rPr>
                <w:rFonts w:ascii="Times New Roman" w:eastAsia="Times New Roman" w:hAnsi="Times New Roman" w:cs="Times New Roman"/>
                <w:color w:val="000000"/>
                <w:lang w:eastAsia="ru-RU"/>
              </w:rPr>
              <w:t>Оценка не проводилась**</w:t>
            </w:r>
          </w:p>
        </w:tc>
      </w:tr>
      <w:tr w:rsidR="00D6781F" w:rsidRPr="00D6781F" w:rsidTr="00D6781F">
        <w:trPr>
          <w:tblCellSpacing w:w="20" w:type="dxa"/>
        </w:trPr>
        <w:tc>
          <w:tcPr>
            <w:tcW w:w="0" w:type="auto"/>
            <w:tcMar>
              <w:top w:w="75" w:type="dxa"/>
              <w:left w:w="75" w:type="dxa"/>
              <w:bottom w:w="75" w:type="dxa"/>
              <w:right w:w="75" w:type="dxa"/>
            </w:tcMar>
            <w:vAlign w:val="center"/>
            <w:hideMark/>
          </w:tcPr>
          <w:p w:rsidR="00D6781F" w:rsidRPr="00D6781F" w:rsidRDefault="00D6781F" w:rsidP="00D6781F">
            <w:pPr>
              <w:spacing w:after="0" w:line="240" w:lineRule="auto"/>
              <w:jc w:val="center"/>
              <w:rPr>
                <w:rFonts w:ascii="Times New Roman" w:eastAsia="Times New Roman" w:hAnsi="Times New Roman" w:cs="Times New Roman"/>
                <w:color w:val="000000"/>
                <w:lang w:eastAsia="ru-RU"/>
              </w:rPr>
            </w:pPr>
          </w:p>
        </w:tc>
        <w:tc>
          <w:tcPr>
            <w:tcW w:w="0" w:type="auto"/>
            <w:tcMar>
              <w:top w:w="75" w:type="dxa"/>
              <w:left w:w="75" w:type="dxa"/>
              <w:bottom w:w="75" w:type="dxa"/>
              <w:right w:w="75" w:type="dxa"/>
            </w:tcMar>
            <w:vAlign w:val="center"/>
            <w:hideMark/>
          </w:tcPr>
          <w:p w:rsidR="00D6781F" w:rsidRPr="00D6781F" w:rsidRDefault="00D6781F" w:rsidP="00D6781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Итого</w:t>
            </w:r>
          </w:p>
        </w:tc>
        <w:tc>
          <w:tcPr>
            <w:tcW w:w="0" w:type="auto"/>
            <w:tcMar>
              <w:top w:w="75" w:type="dxa"/>
              <w:left w:w="75" w:type="dxa"/>
              <w:bottom w:w="75" w:type="dxa"/>
              <w:right w:w="75" w:type="dxa"/>
            </w:tcMar>
            <w:vAlign w:val="center"/>
            <w:hideMark/>
          </w:tcPr>
          <w:p w:rsidR="00D6781F" w:rsidRPr="00D6781F" w:rsidRDefault="00D6781F" w:rsidP="00D6781F">
            <w:pPr>
              <w:spacing w:after="0" w:line="240" w:lineRule="auto"/>
              <w:jc w:val="center"/>
              <w:rPr>
                <w:rFonts w:ascii="Times New Roman" w:eastAsia="Times New Roman" w:hAnsi="Times New Roman" w:cs="Times New Roman"/>
                <w:color w:val="000000"/>
                <w:lang w:eastAsia="ru-RU"/>
              </w:rPr>
            </w:pPr>
            <w:r w:rsidRPr="00D6781F">
              <w:rPr>
                <w:rFonts w:ascii="Times New Roman" w:eastAsia="Times New Roman" w:hAnsi="Times New Roman" w:cs="Times New Roman"/>
                <w:b/>
                <w:bCs/>
                <w:color w:val="000000"/>
                <w:lang w:eastAsia="ru-RU"/>
              </w:rPr>
              <w:t>2 956 068</w:t>
            </w:r>
          </w:p>
        </w:tc>
        <w:tc>
          <w:tcPr>
            <w:tcW w:w="0" w:type="auto"/>
            <w:tcMar>
              <w:top w:w="75" w:type="dxa"/>
              <w:left w:w="75" w:type="dxa"/>
              <w:bottom w:w="75" w:type="dxa"/>
              <w:right w:w="75" w:type="dxa"/>
            </w:tcMar>
            <w:vAlign w:val="center"/>
            <w:hideMark/>
          </w:tcPr>
          <w:p w:rsidR="00D6781F" w:rsidRPr="00D6781F" w:rsidRDefault="00D6781F" w:rsidP="00D6781F">
            <w:pPr>
              <w:spacing w:after="0" w:line="240" w:lineRule="auto"/>
              <w:jc w:val="center"/>
              <w:rPr>
                <w:rFonts w:ascii="Times New Roman" w:eastAsia="Times New Roman" w:hAnsi="Times New Roman" w:cs="Times New Roman"/>
                <w:color w:val="000000"/>
                <w:lang w:eastAsia="ru-RU"/>
              </w:rPr>
            </w:pPr>
            <w:r w:rsidRPr="00D6781F">
              <w:rPr>
                <w:rFonts w:ascii="Times New Roman" w:eastAsia="Times New Roman" w:hAnsi="Times New Roman" w:cs="Times New Roman"/>
                <w:b/>
                <w:bCs/>
                <w:color w:val="000000"/>
                <w:lang w:eastAsia="ru-RU"/>
              </w:rPr>
              <w:t>146 041</w:t>
            </w:r>
          </w:p>
        </w:tc>
      </w:tr>
    </w:tbl>
    <w:p w:rsidR="00D6781F" w:rsidRPr="00D6781F" w:rsidRDefault="00D6781F" w:rsidP="00D6781F">
      <w:pPr>
        <w:spacing w:after="0" w:line="240" w:lineRule="auto"/>
        <w:jc w:val="both"/>
        <w:rPr>
          <w:rFonts w:ascii="Times New Roman" w:eastAsia="Times New Roman" w:hAnsi="Times New Roman" w:cs="Times New Roman"/>
          <w:color w:val="000000"/>
          <w:lang w:eastAsia="ru-RU"/>
        </w:rPr>
      </w:pPr>
      <w:r w:rsidRPr="00D6781F">
        <w:rPr>
          <w:rFonts w:ascii="Times New Roman" w:eastAsia="Times New Roman" w:hAnsi="Times New Roman" w:cs="Times New Roman"/>
          <w:color w:val="000000"/>
          <w:lang w:eastAsia="ru-RU"/>
        </w:rPr>
        <w:t>** Оценка проводилась в отношении недвижимого имущества и транспортных средств</w:t>
      </w:r>
    </w:p>
    <w:p w:rsidR="00DC6863" w:rsidRPr="00D6781F" w:rsidRDefault="00DC6863" w:rsidP="00D6781F">
      <w:pPr>
        <w:spacing w:after="0" w:line="240" w:lineRule="auto"/>
        <w:rPr>
          <w:rFonts w:ascii="Times New Roman" w:hAnsi="Times New Roman" w:cs="Times New Roman"/>
          <w:sz w:val="26"/>
          <w:szCs w:val="26"/>
        </w:rPr>
      </w:pPr>
    </w:p>
    <w:sectPr w:rsidR="00DC6863" w:rsidRPr="00D6781F" w:rsidSect="00D6781F">
      <w:footerReference w:type="default" r:id="rId7"/>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08D" w:rsidRDefault="00F1308D" w:rsidP="00D6781F">
      <w:pPr>
        <w:spacing w:after="0" w:line="240" w:lineRule="auto"/>
      </w:pPr>
      <w:r>
        <w:separator/>
      </w:r>
    </w:p>
  </w:endnote>
  <w:endnote w:type="continuationSeparator" w:id="0">
    <w:p w:rsidR="00F1308D" w:rsidRDefault="00F1308D" w:rsidP="00D67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0497610"/>
      <w:docPartObj>
        <w:docPartGallery w:val="Page Numbers (Bottom of Page)"/>
        <w:docPartUnique/>
      </w:docPartObj>
    </w:sdtPr>
    <w:sdtContent>
      <w:p w:rsidR="00D6781F" w:rsidRDefault="00D6781F">
        <w:pPr>
          <w:pStyle w:val="a6"/>
          <w:jc w:val="right"/>
        </w:pPr>
        <w:r>
          <w:fldChar w:fldCharType="begin"/>
        </w:r>
        <w:r>
          <w:instrText>PAGE   \* MERGEFORMAT</w:instrText>
        </w:r>
        <w:r>
          <w:fldChar w:fldCharType="separate"/>
        </w:r>
        <w:r w:rsidR="00CC02FC">
          <w:rPr>
            <w:noProof/>
          </w:rPr>
          <w:t>2</w:t>
        </w:r>
        <w:r>
          <w:fldChar w:fldCharType="end"/>
        </w:r>
      </w:p>
    </w:sdtContent>
  </w:sdt>
  <w:p w:rsidR="00D6781F" w:rsidRDefault="00D6781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08D" w:rsidRDefault="00F1308D" w:rsidP="00D6781F">
      <w:pPr>
        <w:spacing w:after="0" w:line="240" w:lineRule="auto"/>
      </w:pPr>
      <w:r>
        <w:separator/>
      </w:r>
    </w:p>
  </w:footnote>
  <w:footnote w:type="continuationSeparator" w:id="0">
    <w:p w:rsidR="00F1308D" w:rsidRDefault="00F1308D" w:rsidP="00D678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81F"/>
    <w:rsid w:val="00CC02FC"/>
    <w:rsid w:val="00D6781F"/>
    <w:rsid w:val="00DC6863"/>
    <w:rsid w:val="00F13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6781F"/>
    <w:pPr>
      <w:spacing w:before="100" w:beforeAutospacing="1" w:after="100" w:afterAutospacing="1" w:line="240" w:lineRule="auto"/>
      <w:outlineLvl w:val="0"/>
    </w:pPr>
    <w:rPr>
      <w:rFonts w:ascii="Times New Roman" w:eastAsia="Times New Roman" w:hAnsi="Times New Roman" w:cs="Times New Roman"/>
      <w:b/>
      <w:bCs/>
      <w:color w:val="000000"/>
      <w:kern w:val="36"/>
      <w:sz w:val="44"/>
      <w:szCs w:val="4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781F"/>
    <w:rPr>
      <w:rFonts w:ascii="Times New Roman" w:eastAsia="Times New Roman" w:hAnsi="Times New Roman" w:cs="Times New Roman"/>
      <w:b/>
      <w:bCs/>
      <w:color w:val="000000"/>
      <w:kern w:val="36"/>
      <w:sz w:val="44"/>
      <w:szCs w:val="44"/>
      <w:lang w:eastAsia="ru-RU"/>
    </w:rPr>
  </w:style>
  <w:style w:type="paragraph" w:styleId="a3">
    <w:name w:val="Normal (Web)"/>
    <w:basedOn w:val="a"/>
    <w:uiPriority w:val="99"/>
    <w:semiHidden/>
    <w:unhideWhenUsed/>
    <w:rsid w:val="00D678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ay">
    <w:name w:val="gray"/>
    <w:basedOn w:val="a"/>
    <w:rsid w:val="00D6781F"/>
    <w:pPr>
      <w:spacing w:before="100" w:beforeAutospacing="1" w:after="100" w:afterAutospacing="1" w:line="240" w:lineRule="auto"/>
    </w:pPr>
    <w:rPr>
      <w:rFonts w:ascii="Times New Roman" w:eastAsia="Times New Roman" w:hAnsi="Times New Roman" w:cs="Times New Roman"/>
      <w:color w:val="666666"/>
      <w:sz w:val="24"/>
      <w:szCs w:val="24"/>
      <w:lang w:eastAsia="ru-RU"/>
    </w:rPr>
  </w:style>
  <w:style w:type="paragraph" w:styleId="a4">
    <w:name w:val="header"/>
    <w:basedOn w:val="a"/>
    <w:link w:val="a5"/>
    <w:uiPriority w:val="99"/>
    <w:unhideWhenUsed/>
    <w:rsid w:val="00D6781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6781F"/>
  </w:style>
  <w:style w:type="paragraph" w:styleId="a6">
    <w:name w:val="footer"/>
    <w:basedOn w:val="a"/>
    <w:link w:val="a7"/>
    <w:uiPriority w:val="99"/>
    <w:unhideWhenUsed/>
    <w:rsid w:val="00D6781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678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6781F"/>
    <w:pPr>
      <w:spacing w:before="100" w:beforeAutospacing="1" w:after="100" w:afterAutospacing="1" w:line="240" w:lineRule="auto"/>
      <w:outlineLvl w:val="0"/>
    </w:pPr>
    <w:rPr>
      <w:rFonts w:ascii="Times New Roman" w:eastAsia="Times New Roman" w:hAnsi="Times New Roman" w:cs="Times New Roman"/>
      <w:b/>
      <w:bCs/>
      <w:color w:val="000000"/>
      <w:kern w:val="36"/>
      <w:sz w:val="44"/>
      <w:szCs w:val="4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781F"/>
    <w:rPr>
      <w:rFonts w:ascii="Times New Roman" w:eastAsia="Times New Roman" w:hAnsi="Times New Roman" w:cs="Times New Roman"/>
      <w:b/>
      <w:bCs/>
      <w:color w:val="000000"/>
      <w:kern w:val="36"/>
      <w:sz w:val="44"/>
      <w:szCs w:val="44"/>
      <w:lang w:eastAsia="ru-RU"/>
    </w:rPr>
  </w:style>
  <w:style w:type="paragraph" w:styleId="a3">
    <w:name w:val="Normal (Web)"/>
    <w:basedOn w:val="a"/>
    <w:uiPriority w:val="99"/>
    <w:semiHidden/>
    <w:unhideWhenUsed/>
    <w:rsid w:val="00D678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ay">
    <w:name w:val="gray"/>
    <w:basedOn w:val="a"/>
    <w:rsid w:val="00D6781F"/>
    <w:pPr>
      <w:spacing w:before="100" w:beforeAutospacing="1" w:after="100" w:afterAutospacing="1" w:line="240" w:lineRule="auto"/>
    </w:pPr>
    <w:rPr>
      <w:rFonts w:ascii="Times New Roman" w:eastAsia="Times New Roman" w:hAnsi="Times New Roman" w:cs="Times New Roman"/>
      <w:color w:val="666666"/>
      <w:sz w:val="24"/>
      <w:szCs w:val="24"/>
      <w:lang w:eastAsia="ru-RU"/>
    </w:rPr>
  </w:style>
  <w:style w:type="paragraph" w:styleId="a4">
    <w:name w:val="header"/>
    <w:basedOn w:val="a"/>
    <w:link w:val="a5"/>
    <w:uiPriority w:val="99"/>
    <w:unhideWhenUsed/>
    <w:rsid w:val="00D6781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6781F"/>
  </w:style>
  <w:style w:type="paragraph" w:styleId="a6">
    <w:name w:val="footer"/>
    <w:basedOn w:val="a"/>
    <w:link w:val="a7"/>
    <w:uiPriority w:val="99"/>
    <w:unhideWhenUsed/>
    <w:rsid w:val="00D6781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67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053381">
      <w:bodyDiv w:val="1"/>
      <w:marLeft w:val="0"/>
      <w:marRight w:val="0"/>
      <w:marTop w:val="0"/>
      <w:marBottom w:val="0"/>
      <w:divBdr>
        <w:top w:val="none" w:sz="0" w:space="0" w:color="auto"/>
        <w:left w:val="none" w:sz="0" w:space="0" w:color="auto"/>
        <w:bottom w:val="none" w:sz="0" w:space="0" w:color="auto"/>
        <w:right w:val="none" w:sz="0" w:space="0" w:color="auto"/>
      </w:divBdr>
      <w:divsChild>
        <w:div w:id="1724868074">
          <w:marLeft w:val="0"/>
          <w:marRight w:val="0"/>
          <w:marTop w:val="0"/>
          <w:marBottom w:val="0"/>
          <w:divBdr>
            <w:top w:val="none" w:sz="0" w:space="0" w:color="auto"/>
            <w:left w:val="none" w:sz="0" w:space="0" w:color="auto"/>
            <w:bottom w:val="none" w:sz="0" w:space="0" w:color="auto"/>
            <w:right w:val="none" w:sz="0" w:space="0" w:color="auto"/>
          </w:divBdr>
          <w:divsChild>
            <w:div w:id="1683509710">
              <w:marLeft w:val="0"/>
              <w:marRight w:val="0"/>
              <w:marTop w:val="0"/>
              <w:marBottom w:val="0"/>
              <w:divBdr>
                <w:top w:val="single" w:sz="24" w:space="8" w:color="486BAD"/>
                <w:left w:val="single" w:sz="24" w:space="8" w:color="486BAD"/>
                <w:bottom w:val="single" w:sz="24" w:space="0" w:color="486BAD"/>
                <w:right w:val="single" w:sz="24" w:space="8" w:color="486BAD"/>
              </w:divBdr>
              <w:divsChild>
                <w:div w:id="1569148362">
                  <w:marLeft w:val="1"/>
                  <w:marRight w:val="1"/>
                  <w:marTop w:val="0"/>
                  <w:marBottom w:val="750"/>
                  <w:divBdr>
                    <w:top w:val="none" w:sz="0" w:space="0" w:color="auto"/>
                    <w:left w:val="none" w:sz="0" w:space="0" w:color="auto"/>
                    <w:bottom w:val="none" w:sz="0" w:space="0" w:color="auto"/>
                    <w:right w:val="none" w:sz="0" w:space="0" w:color="auto"/>
                  </w:divBdr>
                  <w:divsChild>
                    <w:div w:id="41971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1102</Words>
  <Characters>6286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Прокопышина Елена Анатольевна</dc:creator>
  <cp:lastModifiedBy>Прокопышина Елена Анатольевна</cp:lastModifiedBy>
  <cp:revision>2</cp:revision>
  <dcterms:created xsi:type="dcterms:W3CDTF">2019-04-24T10:42:00Z</dcterms:created>
  <dcterms:modified xsi:type="dcterms:W3CDTF">2019-04-24T10:42:00Z</dcterms:modified>
</cp:coreProperties>
</file>